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484" w:tblpY="714"/>
        <w:tblOverlap w:val="never"/>
        <w:tblW w:w="9300" w:type="dxa"/>
        <w:tblInd w:w="0" w:type="dxa"/>
        <w:tblLayout w:type="autofit"/>
        <w:tblCellMar>
          <w:top w:w="0" w:type="dxa"/>
          <w:left w:w="108" w:type="dxa"/>
          <w:bottom w:w="0" w:type="dxa"/>
          <w:right w:w="108" w:type="dxa"/>
        </w:tblCellMar>
      </w:tblPr>
      <w:tblGrid>
        <w:gridCol w:w="9300"/>
      </w:tblGrid>
      <w:tr>
        <w:tblPrEx>
          <w:tblCellMar>
            <w:top w:w="0" w:type="dxa"/>
            <w:left w:w="108" w:type="dxa"/>
            <w:bottom w:w="0" w:type="dxa"/>
            <w:right w:w="108" w:type="dxa"/>
          </w:tblCellMar>
        </w:tblPrEx>
        <w:trPr>
          <w:trHeight w:val="1573" w:hRule="exact"/>
        </w:trPr>
        <w:tc>
          <w:tcPr>
            <w:tcW w:w="9300" w:type="dxa"/>
            <w:noWrap w:val="0"/>
            <w:vAlign w:val="top"/>
          </w:tcPr>
          <w:p>
            <w:pPr>
              <w:spacing w:line="1582" w:lineRule="exact"/>
              <w:ind w:left="575" w:right="514"/>
              <w:jc w:val="distribute"/>
              <w:rPr>
                <w:rFonts w:hint="default" w:ascii="Times New Roman" w:hAnsi="Times New Roman" w:eastAsia="方正小标宋_GBK" w:cs="Times New Roman"/>
                <w:b w:val="0"/>
                <w:bCs w:val="0"/>
                <w:color w:val="FF0000"/>
                <w:w w:val="80"/>
                <w:sz w:val="60"/>
                <w:szCs w:val="60"/>
              </w:rPr>
            </w:pP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G1Zv8roBAABnAwAADgAAAGRycy9lMm9Eb2MueG1srVPNbhMx&#10;EL4j9R0s34nTlRrKKpseCOWCSiTgAab+yVrynzxuNnmWvgYnLjxOX4Oxk4YKLghx8c7Y48/zfd/s&#10;8mbvHdvpjDaGgV/O5pzpIKOyYTvwr19uX19zhgWCAheDHvhBI79ZXbxaTqnXXRyjUzozAgnYT2ng&#10;YympFwLlqD3gLCYd6NDE7KFQmrdCZZgI3TvRzecLMcWsUo5SI9Lu+njIVw3fGC3LJ2NQF+YGTr2V&#10;tua23tdVrJbQbzOk0cpTG/APXXiwgR49Q62hAHvI9g8ob2WOGE2ZyehFNMZK3TgQm8v5b2w+j5B0&#10;40LiYDrLhP8PVt7tNplZRd5xFsCTRU+P356+/2Bd1WZK2FPJu7DJpwzTJleie5N9/RIFtm96Hs56&#10;6n1hkjavFt3b7s0VZ/L5TPy6mDKWDzp6VoOBOxsqVehh9xELPUalzyV12wU2DbzrrhdkowQaFeOg&#10;UOgTNY9h2y6HeGuda6bWy2vAke2AvMforDq6PWpQ74Ni5ZCIbaCx5BXaa8WZ0zTFNWoQBaz7m0pq&#10;1YXapG4Td+q/andUq0b3UR2aiKJm5GZjeJq8Oi4vc4pf/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xDxvVAAAACAEAAA8AAAAAAAAAAQAgAAAAIgAAAGRycy9kb3ducmV2LnhtbFBLAQIUABQA&#10;AAAIAIdO4kAbVm/yugEAAGcDAAAOAAAAAAAAAAEAIAAAACQBAABkcnMvZTJvRG9jLnhtbFBLBQYA&#10;AAAABgAGAFkBAABQBQAAAAA=&#10;">
                      <v:fill on="f" focussize="0,0"/>
                      <v:stroke on="f" weight="1.8pt"/>
                      <v:imagedata o:title=""/>
                      <o:lock v:ext="edit" aspectratio="f"/>
                    </v:line>
                  </w:pict>
                </mc:Fallback>
              </mc:AlternateContent>
            </w:r>
            <w:r>
              <w:rPr>
                <w:rFonts w:hint="default" w:ascii="Times New Roman" w:hAnsi="Times New Roman" w:eastAsia="方正小标宋_GBK" w:cs="Times New Roman"/>
                <w:b w:val="0"/>
                <w:bCs w:val="0"/>
                <w:color w:val="FF0000"/>
                <w:w w:val="80"/>
                <w:sz w:val="84"/>
                <w:szCs w:val="84"/>
              </w:rPr>
              <w:t>重庆市妇女联合会</w:t>
            </w:r>
          </w:p>
        </w:tc>
      </w:tr>
    </w:tbl>
    <w:p>
      <w:pPr>
        <w:keepNext w:val="0"/>
        <w:keepLines w:val="0"/>
        <w:pageBreakBefore w:val="0"/>
        <w:widowControl w:val="0"/>
        <w:kinsoku/>
        <w:wordWrap/>
        <w:overflowPunct/>
        <w:topLinePunct w:val="0"/>
        <w:autoSpaceDE/>
        <w:autoSpaceDN/>
        <w:bidi w:val="0"/>
        <w:adjustRightInd w:val="0"/>
        <w:snapToGrid w:val="0"/>
        <w:spacing w:line="800" w:lineRule="exact"/>
        <w:ind w:left="0" w:leftChars="0" w:right="0" w:rightChars="0"/>
        <w:jc w:val="center"/>
        <w:textAlignment w:val="auto"/>
        <w:rPr>
          <w:rFonts w:hint="default" w:ascii="Times New Roman" w:hAnsi="Times New Roman" w:cs="Times New Roman"/>
          <w:b w:val="0"/>
          <w:bCs w:val="0"/>
          <w:kern w:val="1"/>
          <w:sz w:val="34"/>
          <w:szCs w:val="34"/>
          <w:shd w:val="clear" w:color="auto" w:fill="auto"/>
        </w:rPr>
      </w:pPr>
      <w:r>
        <w:rPr>
          <w:rFonts w:hint="default" w:ascii="Times New Roman" w:hAnsi="Times New Roman" w:cs="Times New Roman"/>
          <w:b w:val="0"/>
          <w:bCs w:val="0"/>
        </w:rPr>
        <mc:AlternateContent>
          <mc:Choice Requires="wps">
            <w:drawing>
              <wp:anchor distT="0" distB="0" distL="114300" distR="114300" simplePos="0" relativeHeight="1012123648" behindDoc="0" locked="0" layoutInCell="1" allowOverlap="1">
                <wp:simplePos x="0" y="0"/>
                <wp:positionH relativeFrom="margin">
                  <wp:posOffset>107950</wp:posOffset>
                </wp:positionH>
                <wp:positionV relativeFrom="paragraph">
                  <wp:posOffset>491490</wp:posOffset>
                </wp:positionV>
                <wp:extent cx="5760085" cy="0"/>
                <wp:effectExtent l="0" t="0" r="0" b="0"/>
                <wp:wrapNone/>
                <wp:docPr id="2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8.5pt;margin-top:38.7pt;height:0pt;width:453.55pt;mso-position-horizontal-relative:margin;z-index:1012123648;mso-width-relative:page;mso-height-relative:page;" filled="f" stroked="t" coordsize="21600,21600" o:gfxdata="UEsDBAoAAAAAAIdO4kAAAAAAAAAAAAAAAAAEAAAAZHJzL1BLAwQUAAAACACHTuJAHpZyHdUAAAAI&#10;AQAADwAAAGRycy9kb3ducmV2LnhtbE2PT0vDQBDF74LfYRnBi9hNYjEas+lBEOrRVITeptkxCe6f&#10;sLtN2m/viAc9vnmPN79Xb07WiJlCHL1TkK8yEOQ6r0fXK3jfvdw+gIgJnUbjHSk4U4RNc3lRY6X9&#10;4t5oblMvuMTFChUMKU2VlLEbyGJc+Ykce58+WEwsQy91wIXLrZFFlt1Li6PjDwNO9DxQ99UerYJt&#10;2M7mbv/qi2m/dJiH88cNtkpdX+XZE4hEp/QXhh98RoeGmQ7+6HQUhnXJU5KCslyDYP+xWOcgDr8H&#10;2dTy/4DmG1BLAwQUAAAACACHTuJAvCxb8dABAACOAwAADgAAAGRycy9lMm9Eb2MueG1srVNLjhMx&#10;EN0jcQfLe9KdjOajVjqzmBA2CEaCOUDFn25L/snlSSdn4Rqs2HCcuQZlJ5Phs0GILJyyq/zqvefq&#10;5e3eWbZTCU3wPZ/PWs6UF0EaP/T84fPmzQ1nmMFLsMGrnh8U8tvV61fLKXZqEcZgpUqMQDx2U+z5&#10;mHPsmgbFqBzgLETlKalDcpBpm4ZGJpgI3dlm0bZXzRSSjCkIhUin62OSryq+1krkj1qjysz2nLjl&#10;uqa6bsvarJbQDQniaMSJBvwDCwfGU9Mz1BoysMdk/oByRqSAQeeZCK4JWhuhqgZSM29/U/NphKiq&#10;FjIH49km/H+w4sPuPjEje74gezw4eqOnL1+fvn1nF8WcKWJHNXf+Pp12GO9TUbrXyZV/0sD21dDD&#10;2VC1z0zQ4eX1VdveXHImnnPNy8WYML9TwbES9NwaX7RCB7v3mKkZlT6XlGPr2dTzi/l1gQMaFW0h&#10;U+gikUc/1LsYrJEbY225gWnY3tnEdkCPv9m09CuSCPeXstJkDTge62rqOBajAvnWS5YPkVzxNL+8&#10;UHBKcmYVjXuJCBC6DMb+TSW1tp4YFFePPpZoG+SBHuExJjOM5MS8siwZevTK9zSgZap+3lekl89o&#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lnId1QAAAAgBAAAPAAAAAAAAAAEAIAAAACIAAABk&#10;cnMvZG93bnJldi54bWxQSwECFAAUAAAACACHTuJAvCxb8dABAACOAwAADgAAAAAAAAABACAAAAAk&#10;AQAAZHJzL2Uyb0RvYy54bWxQSwUGAAAAAAYABgBZAQAAZgUAAAAA&#10;">
                <v:fill on="f" focussize="0,0"/>
                <v:stroke weight="0.25pt" color="#FF0000" joinstyle="round"/>
                <v:imagedata o:title=""/>
                <o:lock v:ext="edit" aspectratio="f"/>
              </v:line>
            </w:pict>
          </mc:Fallback>
        </mc:AlternateContent>
      </w:r>
      <w:r>
        <w:rPr>
          <w:rFonts w:hint="default" w:ascii="Times New Roman" w:hAnsi="Times New Roman" w:cs="Times New Roman"/>
          <w:b w:val="0"/>
          <w:bCs w:val="0"/>
          <w:sz w:val="84"/>
          <w:szCs w:val="84"/>
        </w:rPr>
        <mc:AlternateContent>
          <mc:Choice Requires="wps">
            <w:drawing>
              <wp:anchor distT="0" distB="0" distL="114300" distR="114300" simplePos="0" relativeHeight="365366272" behindDoc="0" locked="0" layoutInCell="1" allowOverlap="1">
                <wp:simplePos x="0" y="0"/>
                <wp:positionH relativeFrom="margin">
                  <wp:posOffset>104140</wp:posOffset>
                </wp:positionH>
                <wp:positionV relativeFrom="paragraph">
                  <wp:posOffset>450850</wp:posOffset>
                </wp:positionV>
                <wp:extent cx="5760085" cy="0"/>
                <wp:effectExtent l="0" t="11430" r="635" b="19050"/>
                <wp:wrapNone/>
                <wp:docPr id="1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8.2pt;margin-top:35.5pt;height:0pt;width:453.55pt;mso-position-horizontal-relative:margin;z-index:365366272;mso-width-relative:page;mso-height-relative:page;" filled="f" stroked="t" coordsize="21600,21600" o:gfxdata="UEsDBAoAAAAAAIdO4kAAAAAAAAAAAAAAAAAEAAAAZHJzL1BLAwQUAAAACACHTuJAOvYH/9UAAAAI&#10;AQAADwAAAGRycy9kb3ducmV2LnhtbE2PwU7DMBBE70j8g7VI3KidAG0a4vSAVHHoiRQkjk68TSJi&#10;O423afl7FnGA4+yMZt8Um4sbxIxT7IPXkCwUCPRNsL1vNbztt3cZiEjGWzMEjxq+MMKmvL4qTG7D&#10;2b/iXFEruMTH3GjoiMZcyth06ExchBE9e4cwOUMsp1bayZy53A0yVWopnek9f+jMiM8dNp/VyWl4&#10;T9XHVtXZPiPaHY67Sr4cadb69iZRTyAIL/QXhh98RoeSmepw8jaKgfXygZMaVglPYn+d3j+CqH8P&#10;sizk/wHlN1BLAwQUAAAACACHTuJAJWaSYM0BAACRAwAADgAAAGRycy9lMm9Eb2MueG1srVNLjhMx&#10;EN0jcQfLe9I9kSaEVjqzmBA2CCIBB6j4023JP7lMOjkL12DFhuPMNSg7mTDABiGycKrsqlf1XlWv&#10;7o7OsoNKaILv+c2s5Ux5EaTxQ88/fdy+WHKGGbwEG7zq+Ukhv1s/f7aaYqfmYQxWqsQIxGM3xZ6P&#10;OceuaVCMygHOQlSeHnVIDjK5aWhkgonQnW3mbbtoppBkTEEoRLrdnB/5uuJrrUR+rzWqzGzPqbdc&#10;z1TPfTmb9Qq6IUEcjbi0Af/QhQPjqegVagMZ2Odk/oByRqSAQeeZCK4JWhuhKgdic9P+xubDCFFV&#10;LiQOxqtM+P9gxbvDLjEjaXavOPPgaEYPX74+fPvO5kWcKWJHMfd+ly4exl0qTI86ufJPHNixCnq6&#10;CqqOmQm6vH25aNvlLWfi8a35mRgT5jcqOFaMnlvjC1fo4PAWMxWj0MeQcm09m3o+ny8XNEcBtCva&#10;QibTReoe/VCTMVgjt8bakoJp2N/bxA5A099uW/oVTgT8S1ipsgEcz3H16bwXowL52kuWT5Fk8bTA&#10;vPTglOTMKtr3YhEgdBmM/ZtIKm19SVB1Ny9Ei8hnWYu1D/JU1W6KR3OvHV92tCzWU5/sp1/S+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69gf/1QAAAAgBAAAPAAAAAAAAAAEAIAAAACIAAABkcnMv&#10;ZG93bnJldi54bWxQSwECFAAUAAAACACHTuJAJWaSYM0BAACRAwAADgAAAAAAAAABACAAAAAkAQAA&#10;ZHJzL2Uyb0RvYy54bWxQSwUGAAAAAAYABgBZAQAAYwUAAAAA&#10;">
                <v:fill on="f" focussize="0,0"/>
                <v:stroke weight="1.8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firstLine="420" w:firstLineChars="200"/>
        <w:jc w:val="right"/>
        <w:textAlignment w:val="auto"/>
        <w:rPr>
          <w:rFonts w:hint="default" w:ascii="Times New Roman" w:hAnsi="Times New Roman" w:cs="Times New Roman"/>
          <w:b w:val="0"/>
          <w:bCs w:val="0"/>
          <w:color w:val="FFFFFF" w:themeColor="background1"/>
          <w:kern w:val="1"/>
          <w:sz w:val="34"/>
          <w:szCs w:val="34"/>
          <w:lang w:val="en-US" w:eastAsia="zh-CN"/>
          <w14:textFill>
            <w14:solidFill>
              <w14:schemeClr w14:val="bg1"/>
            </w14:solidFill>
          </w14:textFill>
        </w:rPr>
      </w:pP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233045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left:-0.05pt;margin-top:18.35pt;height:0pt;width:453.55pt;mso-position-horizontal-relative:margin;z-index:251660288;mso-width-relative:page;mso-height-relative:page;" filled="f" stroked="f" coordsize="21600,21600" o:gfxdata="UEsDBAoAAAAAAIdO4kAAAAAAAAAAAAAAAAAEAAAAZHJzL1BLAwQUAAAACACHTuJAPAM5DdQAAAAH&#10;AQAADwAAAGRycy9kb3ducmV2LnhtbE2PTWvDMAyG74P9B6PBbq2dFZI2jVPYoIMxBuvX3Y3VJDSW&#10;Q+y03b+fxg7bUXpfHj0qVjfXiQsOofWkIZkqEEiVty3VGva79WQOIkRD1nSeUMMXBliV93eFya2/&#10;0gYv21gLhlDIjYYmxj6XMlQNOhOmvkfi7OQHZyKPQy3tYK4Md518UiqVzrTEFxrT40uD1Xk7Og3P&#10;2Sk5fK7T2eFjZJBV9P76Rlo/PiRqCSLiLf6V4Uef1aFkp6MfyQbRaZgkXNQwSzMQHC9Uxq8dfxey&#10;LOR///IbUEsDBBQAAAAIAIdO4kCpZzrMvQEAAGQDAAAOAAAAZHJzL2Uyb0RvYy54bWytU0tuGzEM&#10;3RfIHQTt4xk7yAcDj7Oom2yC1kCbAzD6zAjQD6Lisc/Sa3TVTY+Ta5SSHadoN0XRjYYUySe+R87y&#10;ducs26qEJviez2ctZ8qLII0fev745e78hjPM4CXY4FXP9wr57ers3XKKnVqEMVipEiMQj90Uez7m&#10;HLumQTEqBzgLUXkK6pAcZHLT0MgEE6E72yza9qqZQpIxBaEQ6XZ9CPJVxddaifxJa1SZ2Z5Tb7me&#10;qZ5P5WxWS+iGBHE04tgG/EMXDoynR09Qa8jAnpP5A8oZkQIGnWciuCZobYSqHIjNvP2NzecRoqpc&#10;SByMJ5nw/8GKj9tNYkb2fMGZB0cjevn67eX7D3ZRtJkidpTy3m/S0cO4SYXoTidXvkSB7aqe+5Oe&#10;apeZoMvL66u2vbnkTLzGmrfCmDDfq+BYMXpujS9UoYPtA2Z6jFJfU8q19Wzq+cX8usABbYq2kMl0&#10;kXpHP9RaH+6MtXWmpXYNOLIt0OgxWCMPwx4VyA9esryPRNbTVvKC7JTkzCpa4mJViAzG/k0mdWo9&#10;NVzEOshTrKcg9yTtc0xmGIngvIDWHBplpXdcu7Irv/o16+3nWP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AM5DdQAAAAHAQAADwAAAAAAAAABACAAAAAiAAAAZHJzL2Rvd25yZXYueG1sUEsBAhQA&#10;FAAAAAgAh07iQKlnOsy9AQAAZAMAAA4AAAAAAAAAAQAgAAAAIwEAAGRycy9lMm9Eb2MueG1sUEsF&#10;BgAAAAAGAAYAWQEAAFIFAAAAAA==&#10;">
                <v:fill on="f" focussize="0,0"/>
                <v:stroke on="f" weight="0.25pt"/>
                <v:imagedata o:title=""/>
                <o:lock v:ext="edit" aspectratio="f"/>
              </v:line>
            </w:pict>
          </mc:Fallback>
        </mc:AlternateContent>
      </w:r>
      <w:r>
        <w:rPr>
          <w:rFonts w:hint="default" w:ascii="Times New Roman" w:hAnsi="Times New Roman" w:eastAsia="方正仿宋_GBK" w:cs="Times New Roman"/>
          <w:b w:val="0"/>
          <w:bCs w:val="0"/>
          <w:color w:val="0D0D0D" w:themeColor="text1" w:themeTint="F2"/>
          <w:kern w:val="1"/>
          <w:sz w:val="34"/>
          <w:szCs w:val="34"/>
          <w14:textFill>
            <w14:solidFill>
              <w14:schemeClr w14:val="tx1">
                <w14:lumMod w14:val="95000"/>
                <w14:lumOff w14:val="5000"/>
              </w14:schemeClr>
            </w14:solidFill>
          </w14:textFill>
        </w:rPr>
        <w:t>〔202</w:t>
      </w:r>
      <w:r>
        <w:rPr>
          <w:rFonts w:hint="default" w:ascii="Times New Roman" w:hAnsi="Times New Roman" w:eastAsia="方正仿宋_GBK" w:cs="Times New Roman"/>
          <w:b w:val="0"/>
          <w:bCs w:val="0"/>
          <w:color w:val="000000" w:themeColor="text1"/>
          <w:kern w:val="1"/>
          <w:sz w:val="34"/>
          <w:szCs w:val="34"/>
          <w14:textFill>
            <w14:solidFill>
              <w14:schemeClr w14:val="tx1"/>
            </w14:solidFill>
          </w14:textFill>
        </w:rPr>
        <w:t>0〕</w:t>
      </w:r>
      <w:r>
        <w:rPr>
          <w:rFonts w:hint="default" w:ascii="Times New Roman" w:hAnsi="Times New Roman" w:cs="Times New Roman"/>
          <w:b w:val="0"/>
          <w:bCs w:val="0"/>
          <w:color w:val="auto"/>
          <w:kern w:val="1"/>
          <w:sz w:val="34"/>
          <w:szCs w:val="34"/>
        </w:rPr>
        <w:t>－</w:t>
      </w:r>
      <w:r>
        <w:rPr>
          <w:rFonts w:hint="eastAsia" w:ascii="Times New Roman" w:hAnsi="Times New Roman" w:cs="Times New Roman"/>
          <w:b w:val="0"/>
          <w:bCs w:val="0"/>
          <w:color w:val="000000" w:themeColor="text1"/>
          <w:kern w:val="1"/>
          <w:sz w:val="34"/>
          <w:szCs w:val="34"/>
          <w:lang w:val="en-US" w:eastAsia="zh-CN"/>
          <w14:textFill>
            <w14:solidFill>
              <w14:schemeClr w14:val="tx1"/>
            </w14:solidFill>
          </w14:textFill>
        </w:rPr>
        <w:t>43</w:t>
      </w:r>
    </w:p>
    <w:p>
      <w:pPr>
        <w:pStyle w:val="2"/>
        <w:keepNext w:val="0"/>
        <w:keepLines w:val="0"/>
        <w:pageBreakBefore w:val="0"/>
        <w:widowControl w:val="0"/>
        <w:kinsoku/>
        <w:wordWrap/>
        <w:overflowPunct/>
        <w:topLinePunct w:val="0"/>
        <w:autoSpaceDE/>
        <w:autoSpaceDN/>
        <w:bidi w:val="0"/>
        <w:adjustRightInd w:val="0"/>
        <w:snapToGrid w:val="0"/>
        <w:spacing w:after="0" w:line="1000" w:lineRule="exact"/>
        <w:ind w:firstLine="640" w:firstLineChars="200"/>
        <w:jc w:val="right"/>
        <w:textAlignment w:val="auto"/>
        <w:rPr>
          <w:rFonts w:hint="default" w:ascii="Times New Roman" w:hAnsi="Times New Roman" w:eastAsia="方正仿宋_GBK" w:cs="Times New Roman"/>
          <w:color w:val="000000"/>
          <w:kern w:val="2"/>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_GBK" w:cs="Times New Roman"/>
          <w:color w:val="000000"/>
          <w:kern w:val="2"/>
          <w:sz w:val="44"/>
          <w:szCs w:val="44"/>
          <w:lang w:val="en-US" w:eastAsia="zh-CN" w:bidi="ar-SA"/>
        </w:rPr>
      </w:pPr>
      <w:r>
        <w:rPr>
          <w:rFonts w:hint="default" w:ascii="Times New Roman" w:hAnsi="Times New Roman" w:eastAsia="方正小标宋_GBK" w:cs="Times New Roman"/>
          <w:color w:val="000000"/>
          <w:kern w:val="2"/>
          <w:sz w:val="44"/>
          <w:szCs w:val="44"/>
          <w:lang w:val="en-US" w:eastAsia="zh-CN" w:bidi="ar-SA"/>
        </w:rPr>
        <w:t>重庆市妇女联合会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_GBK" w:cs="Times New Roman"/>
          <w:color w:val="000000"/>
          <w:kern w:val="2"/>
          <w:sz w:val="44"/>
          <w:szCs w:val="44"/>
          <w:lang w:val="en-US" w:eastAsia="zh-CN" w:bidi="ar-SA"/>
        </w:rPr>
      </w:pPr>
      <w:r>
        <w:rPr>
          <w:rFonts w:hint="default" w:ascii="Times New Roman" w:hAnsi="Times New Roman" w:eastAsia="方正小标宋_GBK" w:cs="Times New Roman"/>
          <w:color w:val="000000"/>
          <w:kern w:val="2"/>
          <w:sz w:val="44"/>
          <w:szCs w:val="44"/>
          <w:lang w:val="en-US" w:eastAsia="zh-CN" w:bidi="ar-SA"/>
        </w:rPr>
        <w:t>关于开展指导推进家庭教育的五年规划</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_GBK" w:cs="Times New Roman"/>
          <w:color w:val="000000"/>
          <w:kern w:val="2"/>
          <w:sz w:val="44"/>
          <w:szCs w:val="44"/>
          <w:lang w:val="en-US" w:eastAsia="zh-CN" w:bidi="ar-SA"/>
        </w:rPr>
      </w:pPr>
      <w:r>
        <w:rPr>
          <w:rFonts w:hint="default" w:ascii="Times New Roman" w:hAnsi="Times New Roman" w:eastAsia="方正小标宋_GBK" w:cs="Times New Roman"/>
          <w:color w:val="000000"/>
          <w:kern w:val="2"/>
          <w:sz w:val="44"/>
          <w:szCs w:val="44"/>
          <w:lang w:val="en-US" w:eastAsia="zh-CN" w:bidi="ar-SA"/>
        </w:rPr>
        <w:t>（2016-2020年）终期评估工作的通知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各区县</w:t>
      </w:r>
      <w:r>
        <w:rPr>
          <w:rFonts w:hint="eastAsia" w:ascii="Times New Roman" w:hAnsi="Times New Roman" w:eastAsia="方正仿宋_GBK" w:cs="Times New Roman"/>
          <w:color w:val="000000"/>
          <w:kern w:val="2"/>
          <w:sz w:val="32"/>
          <w:szCs w:val="32"/>
          <w:lang w:val="en-US" w:eastAsia="zh-CN" w:bidi="ar-SA"/>
        </w:rPr>
        <w:t>（自治县）</w:t>
      </w:r>
      <w:r>
        <w:rPr>
          <w:rFonts w:hint="default" w:ascii="Times New Roman" w:hAnsi="Times New Roman" w:eastAsia="方正仿宋_GBK" w:cs="Times New Roman"/>
          <w:color w:val="000000"/>
          <w:kern w:val="2"/>
          <w:sz w:val="32"/>
          <w:szCs w:val="32"/>
          <w:lang w:val="en-US" w:eastAsia="zh-CN" w:bidi="ar-SA"/>
        </w:rPr>
        <w:t>妇联，两江新区妇联，</w:t>
      </w:r>
      <w:r>
        <w:rPr>
          <w:rFonts w:hint="eastAsia" w:ascii="Times New Roman" w:hAnsi="Times New Roman" w:eastAsia="方正仿宋_GBK" w:cs="Times New Roman"/>
          <w:color w:val="000000"/>
          <w:kern w:val="2"/>
          <w:sz w:val="32"/>
          <w:szCs w:val="32"/>
          <w:lang w:val="en-US" w:eastAsia="zh-CN" w:bidi="ar-SA"/>
        </w:rPr>
        <w:t>重庆</w:t>
      </w:r>
      <w:r>
        <w:rPr>
          <w:rFonts w:hint="default" w:ascii="Times New Roman" w:hAnsi="Times New Roman" w:eastAsia="方正仿宋_GBK" w:cs="Times New Roman"/>
          <w:color w:val="000000"/>
          <w:kern w:val="2"/>
          <w:sz w:val="32"/>
          <w:szCs w:val="32"/>
          <w:lang w:val="en-US" w:eastAsia="zh-CN" w:bidi="ar-SA"/>
        </w:rPr>
        <w:t>高新区</w:t>
      </w:r>
      <w:r>
        <w:rPr>
          <w:rFonts w:hint="eastAsia" w:ascii="Times New Roman" w:hAnsi="Times New Roman" w:eastAsia="方正仿宋_GBK" w:cs="Times New Roman"/>
          <w:color w:val="000000"/>
          <w:kern w:val="2"/>
          <w:sz w:val="32"/>
          <w:szCs w:val="32"/>
          <w:lang w:val="en-US" w:eastAsia="zh-CN" w:bidi="ar-SA"/>
        </w:rPr>
        <w:t>妇联</w:t>
      </w:r>
      <w:r>
        <w:rPr>
          <w:rFonts w:hint="default" w:ascii="Times New Roman" w:hAnsi="Times New Roman" w:eastAsia="方正仿宋_GBK" w:cs="Times New Roman"/>
          <w:color w:val="000000"/>
          <w:kern w:val="2"/>
          <w:sz w:val="32"/>
          <w:szCs w:val="32"/>
          <w:lang w:val="en-US" w:eastAsia="zh-CN" w:bidi="ar-SA"/>
        </w:rPr>
        <w:t>，万盛经开区妇联：</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今年是《关于指导推进家庭教育的五年规划（2016-2020年）》（以下简称《规划》）实施的收官之年，按照全国妇联联合教育部等9部门下发《关于开展&lt;关于指导推进家庭教育的五年规划（2016-2020年）&gt;终期评估工作的通知》（妇字﹝2020﹞41号）要求，组织开展我市《关于指导推进重庆市家庭教育的五年规划（2016-2020年）》终期评估。现就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一、评估主要目的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为深入贯彻落实习近平关于家庭家教家风建设的重要批示精神，全面落实党的十九届四中全会指出的构建覆盖城乡的家庭教育指导服务体系的任务要求，对标对表中央的部署要求、人民群众对家庭教育指导的期盼需求，全面评估五年来我市《规划》实施情况，认真总结实施成交和经验，及时把握实施中的重点难点问题，深入分析家庭教育面临的新情况新问题，有针对性地提出解决问题的对策建议，为研究制定新一轮规划提供依据、奠定基础，推动我市家庭教育工作健康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二、评估内容</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1.目标任务完成情况。对《规划》实施情况进行全面总结，总结梳理《规划》实施的成效经验、创新做法。特别是要对照《规划》实施测评指标，对目标任务完成情况进行逐项评估。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2.量化指标进展情况。填写终期评估数据采集表，掌握重点量化指标完成情况。如2020年相关数据尚未统计出来，采集数据可用2019年年底的数据。</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3.组织保障落实情况。各区县总结加强《规划》实施组织领导的情况，如：因地制宜制定本地家庭教育工作规划、完善家庭教育领导协调机制、将家庭教育纳入党委政府及相关部门目标管理和考核、纳入财政预算等，为《规划》实施提供支持保障的情况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三、评估工作安排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终期评估采取自查评估和抽查评估相结合的方式。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1.自查评估（10月-11月上旬）。各区县（自治县）妇联会同相关部门按照通知要求，开展自查评估，于11月5日前提交自查评估报告、指标测评表、数据采集表。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抽查评估（10月-11月）。我市《规划》会签部门与相关专家联合组成抽查评估组，赴部分区县（自治县），通过召开座谈会、查阅档案资料、实地考察、访谈等方式进行抽查评估。同时开展不同人群需求调查（家长、社区家庭教育工作者、学校老师、指导服务机构负责同志等），为研究制定新一轮规划提供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3.汇总起草报告（11月底）。汇总相关部门及各区县（自治县）自查评估报告及抽查评估情况，进行数据分析，形成《规划》终期评估报告专家稿，送会签部门征求意见后形成终期评估报告上报全国。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四、评估工作要求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切实加强组织领导。各区县妇联、教育、文明办、民政、文化和旅游、卫生与健康、市场监管、科协、关工委等《规划》成员单位，要高度重视终期评估工作，切实加强领导，精心组织协调，确保评估工作顺利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认真抓好评估实施。围绕《规划》的目标任务,结合本地实际,规范有序、实事求是地开展评估工作。各成员单位可采取不同形式深入基层，认真调查研究，扎实推进评估工作。运用定量评估和定性分析相结合的方式，力求客观准确地反映工作成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3.保证评估效果和进度。各区县妇联请于11月5日前报送《规划》终期评估自查报告、实施测评指标、数据采集表、相关图片声像资料等。自查评估报告要紧扣评估重点内容，字数不超过1000字。填报数据及情况包括但不限于《规划》实施测评指标、数据采集表所确定的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4.用好评估成果。各区县各相关部门要以终期评估为契机，总结归纳经验，分析现状问题，提出建议对策，为进一步做好家庭教育工作提供重要的参考依据，为制定完善下一周期家庭教育规划奠定基础。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联 系 人: 市妇联家庭与儿童工作部  喻凌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联系电话: 023-67125992</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电子邮箱: cqjjh@163.com</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left="1918" w:leftChars="304" w:hanging="1280" w:hangingChars="4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附件：1.《关于指导推进家庭教育的五年规划（2016-2020年）》实施任务分解表</w:t>
      </w:r>
    </w:p>
    <w:p>
      <w:pPr>
        <w:keepNext w:val="0"/>
        <w:keepLines w:val="0"/>
        <w:pageBreakBefore w:val="0"/>
        <w:widowControl w:val="0"/>
        <w:kinsoku/>
        <w:wordWrap/>
        <w:overflowPunct/>
        <w:topLinePunct w:val="0"/>
        <w:autoSpaceDE/>
        <w:autoSpaceDN/>
        <w:bidi w:val="0"/>
        <w:adjustRightInd w:val="0"/>
        <w:snapToGrid w:val="0"/>
        <w:spacing w:line="600" w:lineRule="exact"/>
        <w:ind w:left="1918" w:leftChars="304" w:hanging="1280" w:hangingChars="400"/>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xml:space="preserve">      2.《关于指导推进家庭教育的五年规划（2016——2020年）》终期评估数据采集表</w:t>
      </w:r>
    </w:p>
    <w:p>
      <w:pPr>
        <w:keepNext w:val="0"/>
        <w:keepLines w:val="0"/>
        <w:pageBreakBefore w:val="0"/>
        <w:widowControl w:val="0"/>
        <w:kinsoku/>
        <w:wordWrap/>
        <w:overflowPunct/>
        <w:topLinePunct w:val="0"/>
        <w:autoSpaceDE/>
        <w:autoSpaceDN/>
        <w:bidi w:val="0"/>
        <w:adjustRightInd w:val="0"/>
        <w:snapToGrid w:val="0"/>
        <w:spacing w:line="600" w:lineRule="exact"/>
        <w:ind w:left="1795" w:leftChars="800" w:hanging="115" w:hangingChars="36"/>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3.关于开展《关于指导推进家庭教育的五年规划（2016-2020年）》终期评估工作的通知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5760" w:firstLineChars="1800"/>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重庆市妇女联合会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 xml:space="preserve">                          </w:t>
      </w:r>
      <w:r>
        <w:rPr>
          <w:rFonts w:hint="eastAsia" w:ascii="Times New Roman" w:hAnsi="Times New Roman" w:eastAsia="方正仿宋_GBK" w:cs="Times New Roman"/>
          <w:color w:val="000000"/>
          <w:kern w:val="2"/>
          <w:sz w:val="32"/>
          <w:szCs w:val="32"/>
          <w:lang w:val="en-US" w:eastAsia="zh-CN" w:bidi="ar-SA"/>
        </w:rPr>
        <w:t xml:space="preserve"> </w:t>
      </w:r>
      <w:r>
        <w:rPr>
          <w:rFonts w:hint="default" w:ascii="Times New Roman" w:hAnsi="Times New Roman" w:eastAsia="方正仿宋_GBK" w:cs="Times New Roman"/>
          <w:color w:val="000000"/>
          <w:kern w:val="2"/>
          <w:sz w:val="32"/>
          <w:szCs w:val="32"/>
          <w:lang w:val="en-US" w:eastAsia="zh-CN" w:bidi="ar-SA"/>
        </w:rPr>
        <w:t xml:space="preserve">     2020年10月26日</w:t>
      </w:r>
    </w:p>
    <w:p>
      <w:pPr>
        <w:widowControl/>
        <w:spacing w:line="600" w:lineRule="exact"/>
        <w:ind w:firstLine="640" w:firstLineChars="200"/>
        <w:jc w:val="left"/>
        <w:rPr>
          <w:rFonts w:hint="default" w:ascii="Times New Roman" w:hAnsi="Times New Roman" w:eastAsia="仿宋" w:cs="Times New Roman"/>
          <w:sz w:val="32"/>
          <w:szCs w:val="32"/>
        </w:rPr>
      </w:pPr>
    </w:p>
    <w:p>
      <w:pPr>
        <w:widowControl/>
        <w:spacing w:line="600" w:lineRule="exact"/>
        <w:ind w:firstLine="200"/>
        <w:jc w:val="left"/>
        <w:rPr>
          <w:rFonts w:hint="default" w:ascii="Times New Roman" w:hAnsi="Times New Roman" w:eastAsia="仿宋" w:cs="Times New Roman"/>
          <w:sz w:val="32"/>
          <w:szCs w:val="32"/>
        </w:rPr>
      </w:pPr>
    </w:p>
    <w:p>
      <w:pPr>
        <w:widowControl/>
        <w:spacing w:line="600" w:lineRule="exact"/>
        <w:jc w:val="left"/>
        <w:rPr>
          <w:rFonts w:hint="default" w:ascii="Times New Roman" w:hAnsi="Times New Roman" w:eastAsia="仿宋" w:cs="Times New Roman"/>
          <w:sz w:val="32"/>
          <w:szCs w:val="32"/>
        </w:rPr>
      </w:pPr>
    </w:p>
    <w:p>
      <w:pPr>
        <w:widowControl/>
        <w:spacing w:line="600" w:lineRule="exact"/>
        <w:jc w:val="left"/>
        <w:rPr>
          <w:rFonts w:hint="default" w:ascii="Times New Roman" w:hAnsi="Times New Roman" w:cs="Times New Roman"/>
        </w:rPr>
        <w:sectPr>
          <w:footerReference r:id="rId5" w:type="first"/>
          <w:footerReference r:id="rId3" w:type="default"/>
          <w:footerReference r:id="rId4" w:type="even"/>
          <w:pgSz w:w="11906" w:h="16838"/>
          <w:pgMar w:top="1474" w:right="1134" w:bottom="1588" w:left="1134" w:header="851" w:footer="992" w:gutter="0"/>
          <w:cols w:space="720" w:num="1"/>
          <w:docGrid w:type="linesAndChars" w:linePitch="312" w:charSpace="0"/>
        </w:sectPr>
      </w:pPr>
    </w:p>
    <w:p>
      <w:pPr>
        <w:widowControl/>
        <w:adjustRightInd w:val="0"/>
        <w:snapToGrid w:val="0"/>
        <w:spacing w:line="600" w:lineRule="exact"/>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附件1</w:t>
      </w:r>
    </w:p>
    <w:p>
      <w:pPr>
        <w:widowControl/>
        <w:adjustRightInd w:val="0"/>
        <w:snapToGrid w:val="0"/>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《关于指导推进家庭教育的五年规划（2016-2020年）》</w:t>
      </w:r>
    </w:p>
    <w:p>
      <w:pPr>
        <w:widowControl/>
        <w:adjustRightInd w:val="0"/>
        <w:snapToGrid w:val="0"/>
        <w:spacing w:line="600" w:lineRule="exact"/>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实施任务分解</w:t>
      </w:r>
      <w:r>
        <w:rPr>
          <w:rFonts w:hint="eastAsia" w:ascii="方正小标宋_GBK" w:hAnsi="方正小标宋_GBK" w:eastAsia="方正小标宋_GBK" w:cs="方正小标宋_GBK"/>
          <w:color w:val="000000"/>
          <w:sz w:val="44"/>
          <w:szCs w:val="44"/>
          <w:lang w:eastAsia="zh-CN"/>
        </w:rPr>
        <w:t>表</w:t>
      </w:r>
    </w:p>
    <w:p>
      <w:pPr>
        <w:widowControl/>
        <w:adjustRightInd w:val="0"/>
        <w:snapToGrid w:val="0"/>
        <w:spacing w:line="600" w:lineRule="exact"/>
        <w:jc w:val="lef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u w:val="single"/>
        </w:rPr>
        <w:t xml:space="preserve">               </w:t>
      </w:r>
      <w:r>
        <w:rPr>
          <w:rFonts w:hint="default" w:ascii="Times New Roman" w:hAnsi="Times New Roman" w:eastAsia="方正仿宋_GBK" w:cs="Times New Roman"/>
          <w:color w:val="000000"/>
          <w:sz w:val="30"/>
          <w:szCs w:val="30"/>
        </w:rPr>
        <w:t>区县（自治县）</w:t>
      </w:r>
    </w:p>
    <w:tbl>
      <w:tblPr>
        <w:tblStyle w:val="10"/>
        <w:tblW w:w="14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8047"/>
        <w:gridCol w:w="1493"/>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1653" w:type="dxa"/>
            <w:noWrap w:val="0"/>
            <w:vAlign w:val="center"/>
          </w:tcPr>
          <w:p>
            <w:pPr>
              <w:widowControl/>
              <w:adjustRightInd w:val="0"/>
              <w:snapToGrid w:val="0"/>
              <w:spacing w:line="400" w:lineRule="exact"/>
              <w:jc w:val="center"/>
              <w:rPr>
                <w:rFonts w:hint="default" w:ascii="Times New Roman" w:hAnsi="Times New Roman" w:eastAsia="方正黑体_GBK" w:cs="Times New Roman"/>
                <w:bCs/>
                <w:color w:val="000000"/>
                <w:sz w:val="30"/>
                <w:szCs w:val="30"/>
              </w:rPr>
            </w:pPr>
            <w:r>
              <w:rPr>
                <w:rFonts w:hint="default" w:ascii="Times New Roman" w:hAnsi="Times New Roman" w:eastAsia="方正黑体_GBK" w:cs="Times New Roman"/>
                <w:bCs/>
                <w:color w:val="000000"/>
                <w:sz w:val="30"/>
                <w:szCs w:val="30"/>
              </w:rPr>
              <w:t>测评指标</w:t>
            </w:r>
          </w:p>
        </w:tc>
        <w:tc>
          <w:tcPr>
            <w:tcW w:w="8047" w:type="dxa"/>
            <w:noWrap w:val="0"/>
            <w:vAlign w:val="center"/>
          </w:tcPr>
          <w:p>
            <w:pPr>
              <w:widowControl/>
              <w:adjustRightInd w:val="0"/>
              <w:snapToGrid w:val="0"/>
              <w:spacing w:line="400" w:lineRule="exact"/>
              <w:jc w:val="center"/>
              <w:rPr>
                <w:rFonts w:hint="default" w:ascii="Times New Roman" w:hAnsi="Times New Roman" w:eastAsia="方正黑体_GBK" w:cs="Times New Roman"/>
                <w:bCs/>
                <w:color w:val="000000"/>
                <w:sz w:val="30"/>
                <w:szCs w:val="30"/>
              </w:rPr>
            </w:pPr>
            <w:r>
              <w:rPr>
                <w:rFonts w:hint="default" w:ascii="Times New Roman" w:hAnsi="Times New Roman" w:eastAsia="方正黑体_GBK" w:cs="Times New Roman"/>
                <w:bCs/>
                <w:color w:val="000000"/>
                <w:sz w:val="30"/>
                <w:szCs w:val="30"/>
              </w:rPr>
              <w:t>指  标  要  求</w:t>
            </w:r>
          </w:p>
        </w:tc>
        <w:tc>
          <w:tcPr>
            <w:tcW w:w="1493" w:type="dxa"/>
            <w:noWrap w:val="0"/>
            <w:vAlign w:val="center"/>
          </w:tcPr>
          <w:p>
            <w:pPr>
              <w:widowControl/>
              <w:adjustRightInd w:val="0"/>
              <w:snapToGrid w:val="0"/>
              <w:spacing w:line="400" w:lineRule="exact"/>
              <w:jc w:val="center"/>
              <w:rPr>
                <w:rFonts w:hint="default" w:ascii="Times New Roman" w:hAnsi="Times New Roman" w:eastAsia="方正黑体_GBK" w:cs="Times New Roman"/>
                <w:bCs/>
                <w:color w:val="000000"/>
                <w:sz w:val="30"/>
                <w:szCs w:val="30"/>
              </w:rPr>
            </w:pPr>
            <w:r>
              <w:rPr>
                <w:rFonts w:hint="default" w:ascii="Times New Roman" w:hAnsi="Times New Roman" w:eastAsia="方正黑体_GBK" w:cs="Times New Roman"/>
                <w:bCs/>
                <w:color w:val="000000"/>
                <w:sz w:val="30"/>
                <w:szCs w:val="30"/>
              </w:rPr>
              <w:t>主要责任单位</w:t>
            </w:r>
          </w:p>
        </w:tc>
        <w:tc>
          <w:tcPr>
            <w:tcW w:w="2831" w:type="dxa"/>
            <w:noWrap w:val="0"/>
            <w:vAlign w:val="center"/>
          </w:tcPr>
          <w:p>
            <w:pPr>
              <w:widowControl/>
              <w:adjustRightInd w:val="0"/>
              <w:snapToGrid w:val="0"/>
              <w:spacing w:line="400" w:lineRule="exact"/>
              <w:jc w:val="center"/>
              <w:rPr>
                <w:rFonts w:hint="default" w:ascii="Times New Roman" w:hAnsi="Times New Roman" w:eastAsia="方正黑体_GBK" w:cs="Times New Roman"/>
                <w:bCs/>
                <w:color w:val="000000"/>
                <w:sz w:val="30"/>
                <w:szCs w:val="30"/>
              </w:rPr>
            </w:pPr>
            <w:r>
              <w:rPr>
                <w:rFonts w:hint="default" w:ascii="Times New Roman" w:hAnsi="Times New Roman" w:eastAsia="方正黑体_GBK" w:cs="Times New Roman"/>
                <w:bCs/>
                <w:color w:val="000000"/>
                <w:sz w:val="30"/>
                <w:szCs w:val="30"/>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653" w:type="dxa"/>
            <w:vMerge w:val="restart"/>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准确把握</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家庭教育</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核心内容</w:t>
            </w: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（1）在家庭教育课题研究、指导服务、亲子活动中突出社会主义核心价值观宣传教育内容</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文明办</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53" w:type="dxa"/>
            <w:vMerge w:val="continue"/>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（2）围绕社会主义核心价值观，每年组织开展各具特色的文明家庭创建活动、家庭教育宣传实践活动</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文明办</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53" w:type="dxa"/>
            <w:vMerge w:val="restart"/>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建立健全</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家庭教育</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公共服务</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网络</w:t>
            </w: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（1）城市社区建立家长学校或家庭教育指导服务站点的比率达到90%</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妇联</w:t>
            </w:r>
          </w:p>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民政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53" w:type="dxa"/>
            <w:vMerge w:val="continue"/>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（2）农村社区（村）建立家长学校或家庭教育指导服务站点的比率达到80%</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妇联</w:t>
            </w:r>
          </w:p>
          <w:p>
            <w:pPr>
              <w:widowControl/>
              <w:spacing w:line="400" w:lineRule="exact"/>
              <w:jc w:val="center"/>
              <w:rPr>
                <w:rFonts w:hint="default" w:ascii="Times New Roman" w:hAnsi="Times New Roman" w:cs="Times New Roman"/>
              </w:rPr>
            </w:pPr>
            <w:r>
              <w:rPr>
                <w:rFonts w:hint="default" w:ascii="Times New Roman" w:hAnsi="Times New Roman" w:eastAsia="方正仿宋_GBK" w:cs="Times New Roman"/>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民政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53" w:type="dxa"/>
            <w:vMerge w:val="continue"/>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（3）城乡社区每年至少组织4次家庭教育指导和家庭教育实践活动</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妇联</w:t>
            </w:r>
          </w:p>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民政、关工委、科协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53" w:type="dxa"/>
            <w:vMerge w:val="continue"/>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（4）城市幼儿园、中小学、中等职业学校建立家长学校的比率达到100%</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53" w:type="dxa"/>
            <w:vMerge w:val="continue"/>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（5）农村幼儿园、中小学、中等职业学校建立家长学校的比率达到90%</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53" w:type="dxa"/>
            <w:vMerge w:val="continue"/>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（6）中小学家长学校每学期至少组织2次家庭教育指导和家庭教育实践活动；幼儿园家长学校每学期至少组织3次家庭教育指导和亲子教育实践活动</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653" w:type="dxa"/>
            <w:vMerge w:val="continue"/>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（7）公共图书馆、博物馆、文化馆、科技馆等公共文化服务阵地每年至少开展2次公益性的家庭教育讲座或家庭教育亲子活动</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文旅</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53" w:type="dxa"/>
            <w:vMerge w:val="restart"/>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提升家庭</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教育指导</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服务专业</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化水平</w:t>
            </w: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（1）家庭教育专家队伍、社会工作者队伍、志愿者队伍规模在“十二五”基础上有所扩大，</w:t>
            </w:r>
            <w:r>
              <w:rPr>
                <w:rFonts w:hint="default" w:ascii="Times New Roman" w:hAnsi="Times New Roman" w:eastAsia="方正仿宋_GBK" w:cs="Times New Roman"/>
                <w:sz w:val="30"/>
                <w:szCs w:val="30"/>
              </w:rPr>
              <w:t>建立家庭教育专家队伍、志愿者队伍的区县（自治县）达100%</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教育、关工委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53" w:type="dxa"/>
            <w:vMerge w:val="continue"/>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（2）建立市级家庭教育指导者培训基地或平台</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53" w:type="dxa"/>
            <w:vMerge w:val="continue"/>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（3）制定本市“十三五”家庭教育指导服务队伍培训规划，做到有规划、有教材或大纲</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53" w:type="dxa"/>
            <w:vMerge w:val="continue"/>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4）50%的城市社区家庭教育指导服务站点引入专业社会工作者，开展常态化的指导服务，做到有记录、有自查评估。引入专业社会工作者、开展常态化指导服务的家庭教育指导服务站点的农村社区（村）有所增加</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民政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653" w:type="dxa"/>
            <w:vMerge w:val="continue"/>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（5）对申请设立经营性家庭教育服务机构或提供经营性家庭教育服务的，依法予以登记。</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市场监管</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53" w:type="dxa"/>
            <w:vMerge w:val="restart"/>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大力拓展</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家庭教育</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新媒体</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服务平台</w:t>
            </w: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（1）在广播、电视、报刊等大众传媒设立家庭教育专栏、专题，开展公益宣传</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文化委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53" w:type="dxa"/>
            <w:vMerge w:val="continue"/>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（2）搭建微博、微信、手机客户端等家庭教育新媒体服务平台</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教育、文化委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53" w:type="dxa"/>
            <w:vMerge w:val="restart"/>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促进家庭</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教育均衡</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协调发展</w:t>
            </w: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（1）在80%的妇幼保健机构建立孕妇学校和儿童早期发展基地</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卫生与健康</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（2）在100%的婚姻登记处建立新婚夫妇学校或提供婚姻家庭辅导、婚育健康及育儿知识宣传服务</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民政</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卫生与健康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（3）城乡社区（村）家庭教育服务站点建立家庭教育指导服务综合信息平台或台</w:t>
            </w:r>
            <w:r>
              <w:rPr>
                <w:rFonts w:hint="default" w:ascii="Times New Roman" w:hAnsi="Times New Roman" w:eastAsia="方正仿宋_GBK" w:cs="Times New Roman"/>
                <w:sz w:val="30"/>
                <w:szCs w:val="30"/>
              </w:rPr>
              <w:t>账，并逐年增加</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FF0000"/>
                <w:sz w:val="30"/>
                <w:szCs w:val="30"/>
                <w:u w:val="single"/>
              </w:rPr>
            </w:pPr>
            <w:r>
              <w:rPr>
                <w:rFonts w:hint="default" w:ascii="Times New Roman" w:hAnsi="Times New Roman" w:eastAsia="方正仿宋_GBK" w:cs="Times New Roman"/>
                <w:color w:val="000000"/>
                <w:sz w:val="30"/>
                <w:szCs w:val="30"/>
              </w:rPr>
              <w:t>（4）建立特殊困境儿童家庭教育救助机制，切实保障特殊困境家庭儿童发展权益</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民政</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restart"/>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深化家庭</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教育理论</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研究</w:t>
            </w: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（1）组织申报各级各类家庭教育等相关课题</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（2）定期组织开展家庭教育工作交流、学术研讨活动</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FF0000"/>
                <w:sz w:val="30"/>
                <w:szCs w:val="30"/>
                <w:u w:val="single"/>
              </w:rPr>
            </w:pPr>
            <w:r>
              <w:rPr>
                <w:rFonts w:hint="default" w:ascii="Times New Roman" w:hAnsi="Times New Roman" w:eastAsia="方正仿宋_GBK" w:cs="Times New Roman"/>
                <w:color w:val="000000"/>
                <w:sz w:val="30"/>
                <w:szCs w:val="30"/>
              </w:rPr>
              <w:t>（3）接受人大、政协监督，争取人大代表、政协委员提出家庭教育相关议案、建议、提案</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（4）设置家庭教育课程或家庭教育相关专业的高校数量较“十二五”时期有所增加</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restart"/>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加快家庭</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教育法制</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化建设</w:t>
            </w: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（1）制定《重庆市家庭教育促进条例》配套规定</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教育、民政、卫生与健康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FF0000"/>
                <w:sz w:val="30"/>
                <w:szCs w:val="30"/>
                <w:u w:val="single"/>
              </w:rPr>
            </w:pPr>
            <w:r>
              <w:rPr>
                <w:rFonts w:hint="default" w:ascii="Times New Roman" w:hAnsi="Times New Roman" w:eastAsia="方正仿宋_GBK" w:cs="Times New Roman"/>
                <w:color w:val="000000"/>
                <w:sz w:val="30"/>
                <w:szCs w:val="30"/>
              </w:rPr>
              <w:t>（2）各区县（自治县）制定出台家庭教育相关政策文件</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教育、文化委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（3）贯彻落实《重庆市家庭教育促进条例》</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文明办、民政、</w:t>
            </w:r>
            <w:r>
              <w:rPr>
                <w:rFonts w:hint="default" w:ascii="Times New Roman" w:hAnsi="Times New Roman" w:eastAsia="方正仿宋_GBK" w:cs="Times New Roman"/>
                <w:sz w:val="30"/>
                <w:szCs w:val="30"/>
              </w:rPr>
              <w:t>文化委、卫生与健康、工商、科协、</w:t>
            </w:r>
            <w:r>
              <w:rPr>
                <w:rFonts w:hint="default" w:ascii="Times New Roman" w:hAnsi="Times New Roman" w:eastAsia="方正仿宋_GBK" w:cs="Times New Roman"/>
                <w:color w:val="000000"/>
                <w:sz w:val="30"/>
                <w:szCs w:val="30"/>
              </w:rPr>
              <w:t>关工委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restart"/>
            <w:noWrap w:val="0"/>
            <w:vAlign w:val="bottom"/>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加强工作组织领导</w:t>
            </w:r>
            <w:r>
              <w:rPr>
                <w:rFonts w:hint="default" w:ascii="Times New Roman" w:hAnsi="Times New Roman" w:eastAsia="方正仿宋_GBK" w:cs="Times New Roman"/>
                <w:sz w:val="30"/>
                <w:szCs w:val="30"/>
              </w:rPr>
              <w:t>和监督检查</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p>
            <w:pPr>
              <w:widowControl/>
              <w:spacing w:line="400" w:lineRule="exact"/>
              <w:jc w:val="left"/>
              <w:rPr>
                <w:rFonts w:hint="default" w:ascii="Times New Roman" w:hAnsi="Times New Roman" w:eastAsia="方正仿宋_GBK" w:cs="Times New Roman"/>
              </w:rPr>
            </w:pPr>
          </w:p>
          <w:p>
            <w:pPr>
              <w:widowControl/>
              <w:spacing w:line="400" w:lineRule="exact"/>
              <w:jc w:val="left"/>
              <w:rPr>
                <w:rFonts w:hint="default" w:ascii="Times New Roman" w:hAnsi="Times New Roman" w:eastAsia="方正仿宋_GBK" w:cs="Times New Roman"/>
              </w:rPr>
            </w:pPr>
          </w:p>
          <w:p>
            <w:pPr>
              <w:widowControl/>
              <w:spacing w:line="400" w:lineRule="exact"/>
              <w:jc w:val="left"/>
              <w:rPr>
                <w:rFonts w:hint="default" w:ascii="Times New Roman" w:hAnsi="Times New Roman" w:eastAsia="方正仿宋_GBK" w:cs="Times New Roman"/>
              </w:rPr>
            </w:pPr>
          </w:p>
          <w:p>
            <w:pPr>
              <w:widowControl/>
              <w:spacing w:line="400" w:lineRule="exact"/>
              <w:jc w:val="left"/>
              <w:rPr>
                <w:rFonts w:hint="default" w:ascii="Times New Roman" w:hAnsi="Times New Roman" w:eastAsia="方正仿宋_GBK" w:cs="Times New Roman"/>
              </w:rPr>
            </w:pP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w:t>
            </w:r>
            <w:r>
              <w:rPr>
                <w:rFonts w:hint="default" w:ascii="Times New Roman" w:hAnsi="Times New Roman" w:eastAsia="方正仿宋_GBK" w:cs="Times New Roman"/>
                <w:sz w:val="30"/>
                <w:szCs w:val="30"/>
              </w:rPr>
              <w:t>100%的</w:t>
            </w:r>
            <w:r>
              <w:rPr>
                <w:rFonts w:hint="default" w:ascii="Times New Roman" w:hAnsi="Times New Roman" w:eastAsia="方正仿宋_GBK" w:cs="Times New Roman"/>
                <w:color w:val="000000"/>
                <w:sz w:val="30"/>
                <w:szCs w:val="30"/>
              </w:rPr>
              <w:t>区县（自治县）制定家庭教育工作规划</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教育、文明办、民政、文化委、卫生与健康、科协、关工委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w:t>
            </w:r>
            <w:r>
              <w:rPr>
                <w:rFonts w:hint="default" w:ascii="Times New Roman" w:hAnsi="Times New Roman" w:eastAsia="方正仿宋_GBK" w:cs="Times New Roman"/>
                <w:sz w:val="30"/>
                <w:szCs w:val="30"/>
              </w:rPr>
              <w:t>100%的区县（自治县）</w:t>
            </w:r>
            <w:r>
              <w:rPr>
                <w:rFonts w:hint="default" w:ascii="Times New Roman" w:hAnsi="Times New Roman" w:eastAsia="方正仿宋_GBK" w:cs="Times New Roman"/>
                <w:color w:val="000000"/>
                <w:sz w:val="30"/>
                <w:szCs w:val="30"/>
              </w:rPr>
              <w:t>建立规划实施工作领导协调机制</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教育、文明办、民政、文旅委、卫生与健康、科协、关工委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（3）相关成员单位将家庭教育工作评估纳入本系统业务工作考核</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tc>
        <w:tc>
          <w:tcPr>
            <w:tcW w:w="2831" w:type="dxa"/>
            <w:noWrap w:val="0"/>
            <w:vAlign w:val="top"/>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教育、文明办、民政、文化委、卫生与健康、科协、关工委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（4）区（县）级以上妇联组织、教育部门有专人牵头负责推动规划实施</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妇联</w:t>
            </w:r>
          </w:p>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教育</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b/>
                <w:color w:val="FF00FF"/>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653" w:type="dxa"/>
            <w:vMerge w:val="continue"/>
            <w:noWrap w:val="0"/>
            <w:vAlign w:val="top"/>
          </w:tcPr>
          <w:p>
            <w:pPr>
              <w:widowControl/>
              <w:adjustRightInd w:val="0"/>
              <w:snapToGrid w:val="0"/>
              <w:spacing w:line="400" w:lineRule="exact"/>
              <w:rPr>
                <w:rFonts w:hint="default" w:ascii="Times New Roman" w:hAnsi="Times New Roman" w:eastAsia="方正仿宋_GBK" w:cs="Times New Roman"/>
                <w:color w:val="000000"/>
                <w:sz w:val="30"/>
                <w:szCs w:val="30"/>
              </w:rPr>
            </w:pPr>
          </w:p>
        </w:tc>
        <w:tc>
          <w:tcPr>
            <w:tcW w:w="8047" w:type="dxa"/>
            <w:noWrap w:val="0"/>
            <w:vAlign w:val="center"/>
          </w:tcPr>
          <w:p>
            <w:pPr>
              <w:widowControl/>
              <w:adjustRightInd w:val="0"/>
              <w:snapToGrid w:val="0"/>
              <w:spacing w:line="40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（5）将家庭教育优秀典型纳入“最美家庭”“五好家庭”“文明家庭”激励表彰范畴</w:t>
            </w:r>
          </w:p>
        </w:tc>
        <w:tc>
          <w:tcPr>
            <w:tcW w:w="1493"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文明办</w:t>
            </w:r>
          </w:p>
        </w:tc>
        <w:tc>
          <w:tcPr>
            <w:tcW w:w="2831" w:type="dxa"/>
            <w:noWrap w:val="0"/>
            <w:vAlign w:val="center"/>
          </w:tcPr>
          <w:p>
            <w:pPr>
              <w:widowControl/>
              <w:adjustRightInd w:val="0"/>
              <w:snapToGrid w:val="0"/>
              <w:spacing w:line="400" w:lineRule="exact"/>
              <w:jc w:val="center"/>
              <w:rPr>
                <w:rFonts w:hint="default" w:ascii="Times New Roman" w:hAnsi="Times New Roman" w:eastAsia="方正仿宋_GBK" w:cs="Times New Roman"/>
                <w:color w:val="339966"/>
                <w:sz w:val="30"/>
                <w:szCs w:val="30"/>
                <w:u w:val="single"/>
              </w:rPr>
            </w:pPr>
            <w:r>
              <w:rPr>
                <w:rFonts w:hint="default" w:ascii="Times New Roman" w:hAnsi="Times New Roman" w:eastAsia="方正仿宋_GBK" w:cs="Times New Roman"/>
                <w:color w:val="000000"/>
                <w:sz w:val="30"/>
                <w:szCs w:val="30"/>
              </w:rPr>
              <w:t>妇联</w:t>
            </w:r>
          </w:p>
        </w:tc>
      </w:tr>
    </w:tbl>
    <w:p>
      <w:pPr>
        <w:spacing w:line="600" w:lineRule="exact"/>
        <w:rPr>
          <w:rFonts w:hint="default" w:ascii="Times New Roman" w:hAnsi="Times New Roman" w:eastAsia="方正仿宋_GBK" w:cs="Times New Roman"/>
        </w:rPr>
      </w:pPr>
    </w:p>
    <w:p>
      <w:pPr>
        <w:widowControl/>
        <w:adjustRightInd w:val="0"/>
        <w:snapToGrid w:val="0"/>
        <w:spacing w:line="600" w:lineRule="exact"/>
        <w:rPr>
          <w:rFonts w:hint="default" w:ascii="Times New Roman" w:hAnsi="Times New Roman" w:eastAsia="仿宋_GB2312" w:cs="Times New Roman"/>
          <w:color w:val="000000"/>
          <w:sz w:val="30"/>
          <w:szCs w:val="30"/>
        </w:rPr>
        <w:sectPr>
          <w:pgSz w:w="16838" w:h="11906" w:orient="landscape"/>
          <w:pgMar w:top="1134" w:right="1474" w:bottom="1134" w:left="1588" w:header="851" w:footer="992" w:gutter="0"/>
          <w:cols w:space="720" w:num="1"/>
          <w:docGrid w:type="linesAndChars" w:linePitch="312" w:charSpace="0"/>
        </w:sectPr>
      </w:pPr>
    </w:p>
    <w:p>
      <w:pPr>
        <w:spacing w:line="600" w:lineRule="exact"/>
        <w:rPr>
          <w:rFonts w:hint="eastAsia" w:ascii="方正小标宋_GBK" w:hAnsi="方正小标宋_GBK" w:eastAsia="方正小标宋_GBK" w:cs="方正小标宋_GBK"/>
          <w:sz w:val="44"/>
          <w:szCs w:val="44"/>
        </w:rPr>
      </w:pPr>
      <w:r>
        <w:rPr>
          <w:rFonts w:hint="eastAsia" w:ascii="方正黑体_GBK" w:hAnsi="方正黑体_GBK" w:eastAsia="方正黑体_GBK" w:cs="方正黑体_GBK"/>
          <w:sz w:val="32"/>
          <w:szCs w:val="32"/>
        </w:rPr>
        <w:t>附件2</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《关于指导推进家庭教育的五年规划（2016——2020年）》</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终期评估数据采集表</w:t>
      </w:r>
    </w:p>
    <w:p>
      <w:pPr>
        <w:spacing w:line="6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2"/>
          <w:szCs w:val="32"/>
        </w:rPr>
        <w:t xml:space="preserve">   填写人姓名：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职务：</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联系电话：</w:t>
      </w:r>
      <w:r>
        <w:rPr>
          <w:rFonts w:hint="default" w:ascii="Times New Roman" w:hAnsi="Times New Roman" w:eastAsia="仿宋_GB2312" w:cs="Times New Roman"/>
          <w:sz w:val="32"/>
          <w:szCs w:val="32"/>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4"/>
        <w:gridCol w:w="1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664" w:type="dxa"/>
            <w:noWrap w:val="0"/>
            <w:vAlign w:val="center"/>
          </w:tcPr>
          <w:p>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评  估 指 标</w:t>
            </w:r>
          </w:p>
        </w:tc>
        <w:tc>
          <w:tcPr>
            <w:tcW w:w="11336" w:type="dxa"/>
            <w:noWrap w:val="0"/>
            <w:vAlign w:val="center"/>
          </w:tcPr>
          <w:p>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数   据   采   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664" w:type="dxa"/>
            <w:noWrap w:val="0"/>
            <w:vAlign w:val="center"/>
          </w:tcPr>
          <w:p>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家庭教育工作机制</w:t>
            </w:r>
          </w:p>
        </w:tc>
        <w:tc>
          <w:tcPr>
            <w:tcW w:w="11336" w:type="dxa"/>
            <w:noWrap w:val="0"/>
            <w:vAlign w:val="top"/>
          </w:tcPr>
          <w:p>
            <w:pPr>
              <w:spacing w:line="6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级财政投入家庭教育工作经费</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万元。</w:t>
            </w:r>
          </w:p>
          <w:p>
            <w:pPr>
              <w:spacing w:line="6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（2）有家庭教育工作协调机构或规划实施领导协调机构</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2664" w:type="dxa"/>
            <w:noWrap w:val="0"/>
            <w:vAlign w:val="center"/>
          </w:tcPr>
          <w:p>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家庭教育理论研究</w:t>
            </w:r>
          </w:p>
        </w:tc>
        <w:tc>
          <w:tcPr>
            <w:tcW w:w="11336" w:type="dxa"/>
            <w:noWrap w:val="0"/>
            <w:vAlign w:val="top"/>
          </w:tcPr>
          <w:p>
            <w:pPr>
              <w:spacing w:line="6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（1）有家庭教育学会（研究会）</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p>
            <w:pPr>
              <w:spacing w:line="6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开展家庭教育研究课题</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项，形成研究报告</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份，向人大政协提交家庭教育提议案</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份。</w:t>
            </w:r>
          </w:p>
          <w:p>
            <w:pPr>
              <w:spacing w:line="6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级制定出台家庭教育相关政策文件</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p>
            <w:pPr>
              <w:spacing w:line="60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出版或编写家庭教育读物和指导培训材料</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种。</w:t>
            </w:r>
          </w:p>
        </w:tc>
      </w:tr>
    </w:tbl>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备注：统计口径为2016年—2020年累计数</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1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95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评  估 指 标</w:t>
            </w:r>
          </w:p>
        </w:tc>
        <w:tc>
          <w:tcPr>
            <w:tcW w:w="1152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数   据   采   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295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家庭教育工作阵地</w:t>
            </w:r>
          </w:p>
        </w:tc>
        <w:tc>
          <w:tcPr>
            <w:tcW w:w="11529"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（1）全区县</w:t>
            </w:r>
            <w:r>
              <w:rPr>
                <w:rFonts w:hint="default" w:ascii="Times New Roman" w:hAnsi="Times New Roman" w:eastAsia="仿宋_GB2312" w:cs="Times New Roman"/>
                <w:color w:val="000000"/>
                <w:sz w:val="30"/>
                <w:szCs w:val="30"/>
              </w:rPr>
              <w:t>有幼儿园</w:t>
            </w:r>
            <w:r>
              <w:rPr>
                <w:rFonts w:hint="default" w:ascii="Times New Roman" w:hAnsi="Times New Roman" w:eastAsia="仿宋_GB2312" w:cs="Times New Roman"/>
                <w:color w:val="000000"/>
                <w:sz w:val="30"/>
                <w:szCs w:val="30"/>
                <w:u w:val="single"/>
              </w:rPr>
              <w:t xml:space="preserve">     </w:t>
            </w:r>
            <w:r>
              <w:rPr>
                <w:rFonts w:hint="default" w:ascii="Times New Roman" w:hAnsi="Times New Roman" w:eastAsia="仿宋_GB2312" w:cs="Times New Roman"/>
                <w:color w:val="000000"/>
                <w:sz w:val="30"/>
                <w:szCs w:val="30"/>
              </w:rPr>
              <w:t>所 ，</w:t>
            </w:r>
            <w:r>
              <w:rPr>
                <w:rFonts w:hint="default" w:ascii="Times New Roman" w:hAnsi="Times New Roman" w:eastAsia="仿宋_GB2312" w:cs="Times New Roman"/>
                <w:sz w:val="30"/>
                <w:szCs w:val="30"/>
              </w:rPr>
              <w:t>建立家长学校的幼儿园有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所，占总数的</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全区县有小学</w:t>
            </w:r>
            <w:r>
              <w:rPr>
                <w:rFonts w:hint="default" w:ascii="Times New Roman" w:hAnsi="Times New Roman" w:eastAsia="仿宋_GB2312" w:cs="Times New Roman"/>
                <w:color w:val="000000"/>
                <w:sz w:val="30"/>
                <w:szCs w:val="30"/>
                <w:u w:val="single"/>
              </w:rPr>
              <w:t xml:space="preserve">     </w:t>
            </w:r>
            <w:r>
              <w:rPr>
                <w:rFonts w:hint="default" w:ascii="Times New Roman" w:hAnsi="Times New Roman" w:eastAsia="仿宋_GB2312" w:cs="Times New Roman"/>
                <w:color w:val="000000"/>
                <w:sz w:val="30"/>
                <w:szCs w:val="30"/>
              </w:rPr>
              <w:t>所，</w:t>
            </w:r>
            <w:r>
              <w:rPr>
                <w:rFonts w:hint="default" w:ascii="Times New Roman" w:hAnsi="Times New Roman" w:eastAsia="仿宋_GB2312" w:cs="Times New Roman"/>
                <w:sz w:val="30"/>
                <w:szCs w:val="30"/>
              </w:rPr>
              <w:t>建立家长学校的小学有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所，占总数的</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全区县有中学</w:t>
            </w:r>
            <w:r>
              <w:rPr>
                <w:rFonts w:hint="default" w:ascii="Times New Roman" w:hAnsi="Times New Roman" w:eastAsia="仿宋_GB2312" w:cs="Times New Roman"/>
                <w:color w:val="000000"/>
                <w:sz w:val="30"/>
                <w:szCs w:val="30"/>
                <w:u w:val="single"/>
              </w:rPr>
              <w:t xml:space="preserve">     </w:t>
            </w:r>
            <w:r>
              <w:rPr>
                <w:rFonts w:hint="default" w:ascii="Times New Roman" w:hAnsi="Times New Roman" w:eastAsia="仿宋_GB2312" w:cs="Times New Roman"/>
                <w:color w:val="000000"/>
                <w:sz w:val="30"/>
                <w:szCs w:val="30"/>
              </w:rPr>
              <w:t>所，</w:t>
            </w:r>
            <w:r>
              <w:rPr>
                <w:rFonts w:hint="default" w:ascii="Times New Roman" w:hAnsi="Times New Roman" w:eastAsia="仿宋_GB2312" w:cs="Times New Roman"/>
                <w:sz w:val="30"/>
                <w:szCs w:val="30"/>
              </w:rPr>
              <w:t>建立家长学校的中学有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所，占总数的</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全区县有中等职业学校</w:t>
            </w:r>
            <w:r>
              <w:rPr>
                <w:rFonts w:hint="default" w:ascii="Times New Roman" w:hAnsi="Times New Roman" w:eastAsia="仿宋_GB2312" w:cs="Times New Roman"/>
                <w:color w:val="000000"/>
                <w:sz w:val="30"/>
                <w:szCs w:val="30"/>
                <w:u w:val="single"/>
              </w:rPr>
              <w:t xml:space="preserve">     </w:t>
            </w:r>
            <w:r>
              <w:rPr>
                <w:rFonts w:hint="default" w:ascii="Times New Roman" w:hAnsi="Times New Roman" w:eastAsia="仿宋_GB2312" w:cs="Times New Roman"/>
                <w:color w:val="000000"/>
                <w:sz w:val="30"/>
                <w:szCs w:val="30"/>
              </w:rPr>
              <w:t>所，</w:t>
            </w:r>
            <w:r>
              <w:rPr>
                <w:rFonts w:hint="default" w:ascii="Times New Roman" w:hAnsi="Times New Roman" w:eastAsia="仿宋_GB2312" w:cs="Times New Roman"/>
                <w:sz w:val="30"/>
                <w:szCs w:val="30"/>
              </w:rPr>
              <w:t>建立家长学校的有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所，占总数的</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个城市社区，建立家长学校或家庭教育指导服务站点</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所，其中引入专业社会工作者开展指导服务的有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共有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个农村社区（村），建立家长学校或家庭教育指导服务站点</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所，其中引入专业社会工作者开展指导服务的有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（4）全区县（自治县）各类家长学校开展培训       人次。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（5）全区县（自治县）有妇幼保健院     个，建立了孕妇学校或儿童早期发展基地的妇幼保健院有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个，占总数的</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%；全区（县）建立新婚夫妇学校（或提供婚姻家庭辅导、婚育健康及育儿知识宣传服务）的婚姻登记处有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个，占总数的</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295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家庭教育工作队伍</w:t>
            </w:r>
          </w:p>
        </w:tc>
        <w:tc>
          <w:tcPr>
            <w:tcW w:w="11529"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开展家庭教育指导服务的相关社会组织有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有家庭教育指导服务志愿者</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人。</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有家庭教育讲师团</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个，共</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人。</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开展家庭教育指导服务队伍培训</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次，培训人数</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人次。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全区县（自治县）依法登记的经营性家庭教育服务机构或者提供经营性家庭教育服务的机构有</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95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家庭教育网络化建设</w:t>
            </w:r>
          </w:p>
        </w:tc>
        <w:tc>
          <w:tcPr>
            <w:tcW w:w="11529"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有网上家长学校</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搭建手机微信、微博、短信等家庭教育新媒体服务平台</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设立家庭教育广播、电视栏目</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w:t>
            </w:r>
            <w:r>
              <w:rPr>
                <w:rFonts w:hint="default" w:ascii="Times New Roman" w:hAnsi="Times New Roman" w:eastAsia="仿宋_GB2312" w:cs="Times New Roman"/>
                <w:color w:val="000000"/>
                <w:sz w:val="30"/>
                <w:szCs w:val="30"/>
              </w:rPr>
              <w:t>区县（自治县）</w:t>
            </w:r>
            <w:r>
              <w:rPr>
                <w:rFonts w:hint="default" w:ascii="Times New Roman" w:hAnsi="Times New Roman" w:eastAsia="仿宋_GB2312" w:cs="Times New Roman"/>
                <w:sz w:val="30"/>
                <w:szCs w:val="30"/>
              </w:rPr>
              <w:t>创办家庭教育报纸、刊物</w:t>
            </w:r>
            <w:r>
              <w:rPr>
                <w:rFonts w:hint="default" w:ascii="Times New Roman" w:hAnsi="Times New Roman" w:eastAsia="仿宋_GB2312" w:cs="Times New Roman"/>
                <w:sz w:val="30"/>
                <w:szCs w:val="30"/>
                <w:u w:val="single"/>
              </w:rPr>
              <w:t xml:space="preserve">       </w:t>
            </w:r>
            <w:r>
              <w:rPr>
                <w:rFonts w:hint="default" w:ascii="Times New Roman" w:hAnsi="Times New Roman" w:eastAsia="仿宋_GB2312" w:cs="Times New Roman"/>
                <w:sz w:val="30"/>
                <w:szCs w:val="30"/>
              </w:rPr>
              <w:t>个。</w:t>
            </w:r>
          </w:p>
        </w:tc>
      </w:tr>
    </w:tbl>
    <w:p>
      <w:pPr>
        <w:spacing w:line="600" w:lineRule="exact"/>
        <w:rPr>
          <w:rFonts w:hint="default" w:ascii="Times New Roman" w:hAnsi="Times New Roman" w:cs="Times New Roman"/>
        </w:rPr>
        <w:sectPr>
          <w:footerReference r:id="rId6" w:type="default"/>
          <w:footerReference r:id="rId7" w:type="even"/>
          <w:pgSz w:w="16838" w:h="11906" w:orient="landscape"/>
          <w:pgMar w:top="1077" w:right="1440" w:bottom="1077" w:left="1440" w:header="851" w:footer="992" w:gutter="0"/>
          <w:cols w:space="425" w:num="1"/>
          <w:titlePg/>
          <w:docGrid w:type="linesAndChars" w:linePitch="312" w:charSpace="0"/>
        </w:sectPr>
      </w:pPr>
    </w:p>
    <w:p>
      <w:pPr>
        <w:pStyle w:val="2"/>
        <w:rPr>
          <w:rFonts w:hint="default" w:ascii="Times New Roman" w:hAnsi="Times New Roman" w:cs="Times New Roman"/>
          <w:lang w:val="en-US" w:eastAsia="zh-CN"/>
        </w:rPr>
      </w:pPr>
    </w:p>
    <w:sectPr>
      <w:headerReference r:id="rId8" w:type="default"/>
      <w:footerReference r:id="rId9" w:type="default"/>
      <w:pgSz w:w="11906" w:h="16838"/>
      <w:pgMar w:top="1984" w:right="1587" w:bottom="2098" w:left="1474"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4"/>
        <w:rFonts w:hint="eastAsia"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8</w:t>
    </w:r>
    <w:r>
      <w:rPr>
        <w:rStyle w:val="14"/>
        <w:rFonts w:ascii="宋体" w:hAnsi="宋体"/>
        <w:sz w:val="28"/>
        <w:szCs w:val="28"/>
      </w:rPr>
      <w:fldChar w:fldCharType="end"/>
    </w:r>
    <w:r>
      <w:rPr>
        <w:rStyle w:val="14"/>
        <w:rFonts w:hint="eastAsia" w:ascii="宋体" w:hAnsi="宋体"/>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4"/>
        <w:rFonts w:hint="eastAsia"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11</w:t>
    </w:r>
    <w:r>
      <w:rPr>
        <w:rStyle w:val="14"/>
        <w:rFonts w:ascii="宋体" w:hAnsi="宋体"/>
        <w:sz w:val="28"/>
        <w:szCs w:val="28"/>
      </w:rPr>
      <w:fldChar w:fldCharType="end"/>
    </w:r>
    <w:r>
      <w:rPr>
        <w:rStyle w:val="14"/>
        <w:rFonts w:hint="eastAsia" w:ascii="宋体" w:hAnsi="宋体"/>
        <w:sz w:val="28"/>
        <w:szCs w:val="28"/>
      </w:rPr>
      <w:t xml:space="preserve"> —</w: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61" w:y="37"/>
      <w:rPr>
        <w:rStyle w:val="14"/>
        <w:rFonts w:hint="eastAsia"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10</w:t>
    </w:r>
    <w:r>
      <w:rPr>
        <w:rStyle w:val="14"/>
        <w:rFonts w:ascii="宋体" w:hAnsi="宋体"/>
        <w:sz w:val="28"/>
        <w:szCs w:val="28"/>
      </w:rPr>
      <w:fldChar w:fldCharType="end"/>
    </w:r>
    <w:r>
      <w:rPr>
        <w:rStyle w:val="14"/>
        <w:rFonts w:hint="eastAsia" w:ascii="宋体" w:hAnsi="宋体"/>
        <w:sz w:val="28"/>
        <w:szCs w:val="28"/>
      </w:rPr>
      <w:t xml:space="preserve"> —</w:t>
    </w:r>
  </w:p>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821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820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820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511FC"/>
    <w:rsid w:val="00F51BF9"/>
    <w:rsid w:val="00F51FC8"/>
    <w:rsid w:val="00F672FB"/>
    <w:rsid w:val="00F732EF"/>
    <w:rsid w:val="00FA7DE8"/>
    <w:rsid w:val="00FB3A47"/>
    <w:rsid w:val="00FB3B44"/>
    <w:rsid w:val="00FB5600"/>
    <w:rsid w:val="00FD4B87"/>
    <w:rsid w:val="00FF44E7"/>
    <w:rsid w:val="00FF63EA"/>
    <w:rsid w:val="01F27DD3"/>
    <w:rsid w:val="028C6695"/>
    <w:rsid w:val="03606266"/>
    <w:rsid w:val="05EB76AB"/>
    <w:rsid w:val="071052E0"/>
    <w:rsid w:val="07E573F7"/>
    <w:rsid w:val="08F1017C"/>
    <w:rsid w:val="0B317C9F"/>
    <w:rsid w:val="0BA07856"/>
    <w:rsid w:val="0BA72824"/>
    <w:rsid w:val="0D7429A4"/>
    <w:rsid w:val="0D755B59"/>
    <w:rsid w:val="0E34706B"/>
    <w:rsid w:val="10DA571B"/>
    <w:rsid w:val="11026F0E"/>
    <w:rsid w:val="11E10211"/>
    <w:rsid w:val="12BB214A"/>
    <w:rsid w:val="14252D15"/>
    <w:rsid w:val="14CC2730"/>
    <w:rsid w:val="14DB4734"/>
    <w:rsid w:val="177C0266"/>
    <w:rsid w:val="18726088"/>
    <w:rsid w:val="190739B4"/>
    <w:rsid w:val="19833B89"/>
    <w:rsid w:val="19A67089"/>
    <w:rsid w:val="1A980078"/>
    <w:rsid w:val="1DBB5B05"/>
    <w:rsid w:val="1F236CA9"/>
    <w:rsid w:val="201B2FDF"/>
    <w:rsid w:val="201F78BE"/>
    <w:rsid w:val="243F2BF9"/>
    <w:rsid w:val="279B1A8A"/>
    <w:rsid w:val="28365422"/>
    <w:rsid w:val="28C56166"/>
    <w:rsid w:val="291F11F1"/>
    <w:rsid w:val="2A41185D"/>
    <w:rsid w:val="2B196093"/>
    <w:rsid w:val="2C6013FB"/>
    <w:rsid w:val="2D9B7291"/>
    <w:rsid w:val="30C444F6"/>
    <w:rsid w:val="31380B6C"/>
    <w:rsid w:val="313E10A7"/>
    <w:rsid w:val="31957645"/>
    <w:rsid w:val="333A42D3"/>
    <w:rsid w:val="352B4788"/>
    <w:rsid w:val="368F4B35"/>
    <w:rsid w:val="36E026A0"/>
    <w:rsid w:val="38700514"/>
    <w:rsid w:val="38F876D5"/>
    <w:rsid w:val="3C5F2C34"/>
    <w:rsid w:val="3D451B48"/>
    <w:rsid w:val="3DFA06CC"/>
    <w:rsid w:val="3E9D45A7"/>
    <w:rsid w:val="3F534679"/>
    <w:rsid w:val="40D34DC6"/>
    <w:rsid w:val="411A67C8"/>
    <w:rsid w:val="434835B5"/>
    <w:rsid w:val="44C92D5C"/>
    <w:rsid w:val="47AF796A"/>
    <w:rsid w:val="489C11CA"/>
    <w:rsid w:val="4A672B08"/>
    <w:rsid w:val="4AAE7E30"/>
    <w:rsid w:val="4B666FC4"/>
    <w:rsid w:val="4BFC7480"/>
    <w:rsid w:val="4D080091"/>
    <w:rsid w:val="4E294453"/>
    <w:rsid w:val="4E2D5871"/>
    <w:rsid w:val="4E4C0E17"/>
    <w:rsid w:val="50CA0D8D"/>
    <w:rsid w:val="50D96AC9"/>
    <w:rsid w:val="526737AB"/>
    <w:rsid w:val="53A97F83"/>
    <w:rsid w:val="55A7494B"/>
    <w:rsid w:val="5993240E"/>
    <w:rsid w:val="59E67BC6"/>
    <w:rsid w:val="5B6C2CBF"/>
    <w:rsid w:val="5C462686"/>
    <w:rsid w:val="5C587B47"/>
    <w:rsid w:val="5CBF34DB"/>
    <w:rsid w:val="5D700D6C"/>
    <w:rsid w:val="5E1438D7"/>
    <w:rsid w:val="5EF0381E"/>
    <w:rsid w:val="5F2A522C"/>
    <w:rsid w:val="60311E0E"/>
    <w:rsid w:val="60A85315"/>
    <w:rsid w:val="617C4F29"/>
    <w:rsid w:val="61C0403D"/>
    <w:rsid w:val="6246776C"/>
    <w:rsid w:val="62627823"/>
    <w:rsid w:val="62F76111"/>
    <w:rsid w:val="6328454D"/>
    <w:rsid w:val="648F2DE5"/>
    <w:rsid w:val="64B87C1E"/>
    <w:rsid w:val="66DC6309"/>
    <w:rsid w:val="673F3994"/>
    <w:rsid w:val="69B60976"/>
    <w:rsid w:val="69EC1C7F"/>
    <w:rsid w:val="6C5B199D"/>
    <w:rsid w:val="6C6D5FA7"/>
    <w:rsid w:val="6DC31808"/>
    <w:rsid w:val="6FBE1912"/>
    <w:rsid w:val="6FEF1739"/>
    <w:rsid w:val="72B977FC"/>
    <w:rsid w:val="73E06610"/>
    <w:rsid w:val="745025EC"/>
    <w:rsid w:val="76333513"/>
    <w:rsid w:val="7785352A"/>
    <w:rsid w:val="78456061"/>
    <w:rsid w:val="792377EB"/>
    <w:rsid w:val="7A955C60"/>
    <w:rsid w:val="7BAB1DB1"/>
    <w:rsid w:val="7CA56AFD"/>
    <w:rsid w:val="7D867236"/>
    <w:rsid w:val="7ED6084D"/>
    <w:rsid w:val="7F69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6"/>
    <w:pPr>
      <w:keepNext/>
      <w:keepLines/>
      <w:spacing w:before="340" w:after="330" w:line="576" w:lineRule="auto"/>
      <w:outlineLvl w:val="0"/>
    </w:pPr>
    <w:rPr>
      <w:b/>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6"/>
    <w:pPr>
      <w:spacing w:after="120"/>
    </w:pPr>
    <w:rPr>
      <w:kern w:val="1"/>
    </w:rPr>
  </w:style>
  <w:style w:type="paragraph" w:styleId="4">
    <w:name w:val="Body Text Indent"/>
    <w:basedOn w:val="1"/>
    <w:qFormat/>
    <w:uiPriority w:val="0"/>
    <w:pPr>
      <w:spacing w:after="120"/>
      <w:ind w:left="420" w:leftChars="200"/>
    </w:pPr>
    <w:rPr>
      <w:szCs w:val="24"/>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608"/>
      </w:tabs>
      <w:spacing w:line="480" w:lineRule="exact"/>
      <w:jc w:val="distribute"/>
    </w:pPr>
    <w:rPr>
      <w:rFonts w:ascii="宋体" w:hAnsi="宋体"/>
      <w:b/>
      <w:bCs/>
      <w:caps/>
      <w:color w:val="000000"/>
      <w:kern w:val="44"/>
      <w:sz w:val="24"/>
      <w:lang w:val="zh-CN"/>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9">
    <w:name w:val="Body Text First Indent 2"/>
    <w:basedOn w:val="4"/>
    <w:qFormat/>
    <w:uiPriority w:val="0"/>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页眉 Char"/>
    <w:basedOn w:val="12"/>
    <w:link w:val="6"/>
    <w:semiHidden/>
    <w:qFormat/>
    <w:uiPriority w:val="99"/>
    <w:rPr>
      <w:sz w:val="18"/>
      <w:szCs w:val="18"/>
    </w:rPr>
  </w:style>
  <w:style w:type="character" w:customStyle="1" w:styleId="17">
    <w:name w:val="页脚 Char"/>
    <w:basedOn w:val="12"/>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fontstyle01"/>
    <w:basedOn w:val="12"/>
    <w:qFormat/>
    <w:uiPriority w:val="0"/>
    <w:rPr>
      <w:rFonts w:hint="default" w:ascii="FZFSK--GBK1-0" w:hAnsi="FZFSK--GBK1-0"/>
      <w:color w:val="000000"/>
      <w:sz w:val="32"/>
      <w:szCs w:val="32"/>
    </w:rPr>
  </w:style>
  <w:style w:type="character" w:customStyle="1" w:styleId="20">
    <w:name w:val="fontstyle11"/>
    <w:basedOn w:val="12"/>
    <w:qFormat/>
    <w:uiPriority w:val="0"/>
    <w:rPr>
      <w:rFonts w:hint="default" w:ascii="E-BZ" w:hAnsi="E-BZ"/>
      <w:color w:val="000000"/>
      <w:sz w:val="32"/>
      <w:szCs w:val="32"/>
    </w:rPr>
  </w:style>
  <w:style w:type="paragraph" w:customStyle="1" w:styleId="21">
    <w:name w:val="Default"/>
    <w:qFormat/>
    <w:uiPriority w:val="0"/>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 w:type="paragraph" w:customStyle="1" w:styleId="22">
    <w:name w:val="paragraph"/>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23">
    <w:name w:val="列出段落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237</Words>
  <Characters>1353</Characters>
  <Lines>11</Lines>
  <Paragraphs>3</Paragraphs>
  <TotalTime>1</TotalTime>
  <ScaleCrop>false</ScaleCrop>
  <LinksUpToDate>false</LinksUpToDate>
  <CharactersWithSpaces>1587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2020-04-27T02:51:00Z</dcterms:created>
  <dc:creator>HP</dc:creator>
  <cp:lastModifiedBy>乖乖1419065981</cp:lastModifiedBy>
  <cp:lastPrinted>2020-10-26T09:51:00Z</cp:lastPrinted>
  <dcterms:modified xsi:type="dcterms:W3CDTF">2020-10-27T02:45:47Z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