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rPr>
          <w:trHeight w:val="1573" w:hRule="exact"/>
        </w:trPr>
        <w:tc>
          <w:tcPr>
            <w:tcW w:w="9300" w:type="dxa"/>
            <w:noWrap w:val="0"/>
            <w:vAlign w:val="top"/>
          </w:tcPr>
          <w:p>
            <w:pPr>
              <w:spacing w:line="1582" w:lineRule="exact"/>
              <w:ind w:left="575" w:right="514"/>
              <w:jc w:val="distribute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60"/>
                <w:szCs w:val="6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righ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576008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13.55pt;height:0pt;width:453.55pt;mso-position-horizontal:center;mso-position-horizontal-relative:margin;z-index:251659264;mso-width-relative:page;mso-height-relative:page;" filled="f" stroked="f" coordsize="21600,21600" o:gfxdata="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lW9enSAAAABgEAAA8AAAAAAAAAAQAgAAAAIgAAAGRycy9kb3ducmV2LnhtbFBLAQIUABQA&#10;AAAIAIdO4kCpZzrMvQEAAGQDAAAOAAAAAAAAAAEAIAAAACEBAABkcnMvZTJvRG9jLnhtbFBLBQYA&#10;AAAABgAGAFkBAABQBQAAAAA=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1"/>
          <w:sz w:val="34"/>
          <w:szCs w:val="34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198120</wp:posOffset>
                </wp:positionV>
                <wp:extent cx="5760085" cy="0"/>
                <wp:effectExtent l="0" t="11430" r="635" b="19050"/>
                <wp:wrapNone/>
                <wp:docPr id="1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.1pt;margin-top:15.6pt;height:0pt;width:453.55pt;mso-position-horizontal-relative:margin;z-index:251682816;mso-width-relative:page;mso-height-relative:page;" filled="f" stroked="t" coordsize="21600,21600" o:gfxdata="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yA8V1QAAAAgBAAAPAAAAAAAAAAEAIAAAACIAAABkcnMv&#10;ZG93bnJldi54bWxQSwECFAAUAAAACACHTuJAARR0AM0BAACRAwAADgAAAAAAAAABACAAAAAkAQAA&#10;ZHJzL2Uyb0RvYy54bWxQSwUGAAAAAAYABgBZAQAAYwUAAAAA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1"/>
          <w:sz w:val="34"/>
          <w:szCs w:val="3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ragraph">
                  <wp:posOffset>8371205</wp:posOffset>
                </wp:positionV>
                <wp:extent cx="5760085" cy="0"/>
                <wp:effectExtent l="0" t="11430" r="635" b="19050"/>
                <wp:wrapNone/>
                <wp:docPr id="1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.7pt;margin-top:659.15pt;height:0pt;width:453.55pt;mso-position-horizontal-relative:margin;z-index:251860992;mso-width-relative:page;mso-height-relative:page;" filled="f" stroked="t" coordsize="21600,21600" o:gfxdata="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0QC422AAAAA0BAAAPAAAAAAAAAAEAIAAAACIAAABk&#10;cnMvZG93bnJldi54bWxQSwECFAAUAAAACACHTuJANfmvK80BAACRAwAADgAAAAAAAAABACAAAAAn&#10;AQAAZHJzL2Uyb0RvYy54bWxQSwUGAAAAAAYABgBZAQAAZgUAAAAA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1"/>
          <w:sz w:val="34"/>
          <w:szCs w:val="3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259080</wp:posOffset>
                </wp:positionV>
                <wp:extent cx="5760085" cy="0"/>
                <wp:effectExtent l="0" t="0" r="0" b="0"/>
                <wp:wrapNone/>
                <wp:docPr id="1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.9pt;margin-top:20.4pt;height:0pt;width:453.55pt;mso-position-horizontal-relative:margin;z-index:251950080;mso-width-relative:page;mso-height-relative:page;" filled="f" stroked="t" coordsize="21600,21600" o:gfxdata="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kZ2J+1QAAAAgBAAAPAAAAAAAAAAEAIAAAACIAAABk&#10;cnMvZG93bnJldi54bWxQSwECFAAUAAAACACHTuJAbX/W9tABAACOAwAADgAAAAAAAAABACAAAAAk&#10;AQAAZHJzL2Uyb0RvYy54bWxQSwUGAAAAAAYABgBZAQAAZgUAAAAA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1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〔2020〕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24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重庆市妇女联合会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/>
        </w:rPr>
        <w:t>关于开展重庆市“巾帼脱贫技能大培训”的通知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各区县（自治县）妇联，万盛经开区妇联：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为深入贯彻落实习近平总书记系列重要讲话和指示精神，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扎实推进“脱贫攻坚巴渝巾帼行动”，助力全市打赢打好脱贫攻坚战，市妇联在全市范围实施“巾帼脱贫技能大培训”项目。为保障培训项目顺利实施，着力提升贫困妇女脱贫技能。现将有关事项通知如下。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重庆市“巾帼脱贫技能大培训”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贫困妇女需求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为导向开展培训。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1.市妇联示范培训以项目化运行方式，委托专业社会机构送教上门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开展手工编织、农村电商技能培训。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2.各区县妇联（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渝中区、大渡口区、江北区、九龙坡区、南岸区、北碚区</w:t>
      </w:r>
      <w:r>
        <w:rPr>
          <w:rFonts w:hint="default" w:ascii="Times New Roman" w:hAnsi="Times New Roman" w:cs="Times New Roman"/>
          <w:b w:val="0"/>
          <w:bCs w:val="0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1112520</wp:posOffset>
                </wp:positionV>
                <wp:extent cx="5760085" cy="0"/>
                <wp:effectExtent l="0" t="0" r="0" b="0"/>
                <wp:wrapNone/>
                <wp:docPr id="1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5.8pt;margin-top:87.6pt;height:0pt;width:453.55pt;mso-position-horizontal-relative:margin;z-index:252104704;mso-width-relative:page;mso-height-relative:page;" filled="f" stroked="t" coordsize="21600,21600" o:gfxdata="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n/eRzXAAAACwEAAA8AAAAAAAAAAQAgAAAAIgAA&#10;AGRycy9kb3ducmV2LnhtbFBLAQIUABQAAAAIAIdO4kBpsElK0AEAAI4DAAAOAAAAAAAAAAEAIAAA&#10;ACYBAABkcnMvZTJvRG9jLnhtbFBLBQYAAAAABgAGAFkBAABoBQAAAAA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、两江新区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无扶贫开发工作任务的区除外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）在市妇联项目基础上，结合实际确定培训方式及培训内容。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年全市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妇联组织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上下联动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，通过妇联集中培训、基地带动培训、工坊定点培训等，多渠道开展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巾帼脱贫技能培训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，实现对全市1万多名未脱贫且有培训意愿的贫困妇女全覆盖。其中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市妇联示范培训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场（手工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编织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场、农村电商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场），培训贫困妇女不少于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四、资金渠道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市妇联示范培训，由市妇联出资；区县妇联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培训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妇联自行负责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五、实施时间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市级示范培训，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8月底前完成，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各项目乡镇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实施时间以区县妇联和实施机构共同确定为准。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各区县培训时间截止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10月底。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请各区县妇联高度重视，认真组织，有市级示范培训任务的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扶贫工作区县，要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切实配合实施机构完成市级培训项目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（具体实施名单见附件）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，并在此基础上，结合实际开展本区县技能培训。其余区县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根据本区县实际自行组织开展培训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2.“巾帼脱贫技能大培训”是脱贫攻坚巴渝巾帼行动的一项重要工作内容，要有序组织推进，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加强跟踪评估督导，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做好文字、图片资料收集，及时总结提炼，挖掘先进典型，相关推进情况及时向市妇联发展部报送。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3.为方便实施机构推进工作，请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市级示范培训项目覆盖的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区县于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（星期二）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下午18:00前，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区县妇联负责项目实施的联系人名单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至市妇联妇女发展部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安志娟处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及联系方式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1.“巾帼脱贫技能大培训·手工编织培训及展示”项目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67125570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22109227@qq.com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.“巾帼脱贫技能大培训·农村电商培训及展销”项目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安志娟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67125195    71184177@qq.com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280" w:leftChars="0" w:hanging="1280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附件：1.重庆市“巾帼脱贫技能大培训”项目实施机构联系人及服务地点名单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2.区县妇联联系人名单回执表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120" w:firstLineChars="16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440" w:firstLineChars="17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重庆市“巾帼脱贫技能大培训”项目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实施机构联系人及服务地点名单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880" w:firstLineChars="200"/>
        <w:textAlignment w:val="auto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一、“巾帼脱贫技能大培训·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手工编织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培训及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展示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重庆壹秋堂文化传播有限公司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18696619117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2.服务地点：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州区（瀼渡镇、龙驹镇、分水镇大冲村）、黔江区（金溪、小南海等乡镇）、涪陵区（义和镇、罗云乡、白涛街道）、潼南区上和镇、开州区（大进镇、郭家镇、渠口镇）、城口县（沿河乡、鸡鸣乡）、忠县忠州街道、丰都县兴义镇坦铺村、巫山县双龙镇、秀山县梅江镇（辐射平凯街道、石耶镇兰桥镇、岑溪乡、中平乡)、彭水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（绍庆街道、走马乡）、石柱县中益乡。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、“巾帼脱贫技能大培训·农村电商培训及展销”项目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zh-CN"/>
        </w:rPr>
        <w:t>重庆购物狂网络技术有限公司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18610515666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2.服务地点：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万州区分水镇、涪陵区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龙潭镇、义和镇、珍溪镇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)、南川区西城街道、开州区大进镇、丰都县三建乡廖家坝村、巫山县曲尺乡、秀山县清溪场镇（辐射隘口镇、孝溪乡）、云阳县泥溪镇、彭水县绍庆街道、石柱县临溪镇、巫溪县（文峰镇、城厢镇、胜利乡）、奉节县（夔门街道、公平镇、吐祥镇、安坪镇）、武隆区羊角街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5760" w:firstLineChars="18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区县妇联联系人名单回执表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715"/>
        <w:gridCol w:w="2040"/>
        <w:gridCol w:w="1596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姓名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单位及职务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联系电话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负责项目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15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备注：负责项目栏仅填“手工编织”“农村电商”字样。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right="1283" w:rightChars="611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88" w:bottom="2098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81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7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28C6695"/>
    <w:rsid w:val="05EB76AB"/>
    <w:rsid w:val="071052E0"/>
    <w:rsid w:val="08F1017C"/>
    <w:rsid w:val="0B317C9F"/>
    <w:rsid w:val="0BA72824"/>
    <w:rsid w:val="0D755B59"/>
    <w:rsid w:val="0E34706B"/>
    <w:rsid w:val="10DA571B"/>
    <w:rsid w:val="11026F0E"/>
    <w:rsid w:val="14252D15"/>
    <w:rsid w:val="14DB4734"/>
    <w:rsid w:val="177C0266"/>
    <w:rsid w:val="18726088"/>
    <w:rsid w:val="19A67089"/>
    <w:rsid w:val="1DBB5B05"/>
    <w:rsid w:val="1F236CA9"/>
    <w:rsid w:val="201B2FDF"/>
    <w:rsid w:val="243F2BF9"/>
    <w:rsid w:val="291F11F1"/>
    <w:rsid w:val="2A41185D"/>
    <w:rsid w:val="2B196093"/>
    <w:rsid w:val="2D9B7291"/>
    <w:rsid w:val="30C444F6"/>
    <w:rsid w:val="313E10A7"/>
    <w:rsid w:val="352B4788"/>
    <w:rsid w:val="368F4B35"/>
    <w:rsid w:val="36E026A0"/>
    <w:rsid w:val="38700514"/>
    <w:rsid w:val="38F876D5"/>
    <w:rsid w:val="3D451B48"/>
    <w:rsid w:val="3F534679"/>
    <w:rsid w:val="434835B5"/>
    <w:rsid w:val="439E239C"/>
    <w:rsid w:val="489C11CA"/>
    <w:rsid w:val="4AAE7E30"/>
    <w:rsid w:val="4B666FC4"/>
    <w:rsid w:val="4BFC7480"/>
    <w:rsid w:val="4D080091"/>
    <w:rsid w:val="4E4C0E17"/>
    <w:rsid w:val="50D96AC9"/>
    <w:rsid w:val="55A7494B"/>
    <w:rsid w:val="5993240E"/>
    <w:rsid w:val="59E67BC6"/>
    <w:rsid w:val="5AD23FCE"/>
    <w:rsid w:val="5B6C2CBF"/>
    <w:rsid w:val="5C462686"/>
    <w:rsid w:val="5CBF34DB"/>
    <w:rsid w:val="5EF0381E"/>
    <w:rsid w:val="61C0403D"/>
    <w:rsid w:val="62F76111"/>
    <w:rsid w:val="648F2DE5"/>
    <w:rsid w:val="69EC1C7F"/>
    <w:rsid w:val="6DC31808"/>
    <w:rsid w:val="6FBE1912"/>
    <w:rsid w:val="72B977FC"/>
    <w:rsid w:val="73E06610"/>
    <w:rsid w:val="745025EC"/>
    <w:rsid w:val="76333513"/>
    <w:rsid w:val="7785352A"/>
    <w:rsid w:val="78456061"/>
    <w:rsid w:val="7A955C60"/>
    <w:rsid w:val="7CA56AFD"/>
    <w:rsid w:val="7D867236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style01"/>
    <w:basedOn w:val="9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17">
    <w:name w:val="fontstyle11"/>
    <w:basedOn w:val="9"/>
    <w:qFormat/>
    <w:uiPriority w:val="0"/>
    <w:rPr>
      <w:rFonts w:hint="default" w:ascii="E-BZ" w:hAnsi="E-BZ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1353</Characters>
  <Lines>11</Lines>
  <Paragraphs>3</Paragraphs>
  <TotalTime>0</TotalTime>
  <ScaleCrop>false</ScaleCrop>
  <LinksUpToDate>false</LinksUpToDate>
  <CharactersWithSpaces>1587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风中老袁</cp:lastModifiedBy>
  <cp:lastPrinted>2020-07-03T02:46:00Z</cp:lastPrinted>
  <dcterms:modified xsi:type="dcterms:W3CDTF">2020-07-03T03:02:27Z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